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r>
              <w:rPr>
                <w:noProof/>
                <w:lang w:eastAsia="en-GB"/>
              </w:rPr>
              <w:drawing>
                <wp:inline distT="0" distB="0" distL="0" distR="0" wp14:anchorId="4B624053" wp14:editId="134A8C18">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500FF0">
        <w:trPr>
          <w:cantSplit/>
        </w:trPr>
        <w:tc>
          <w:tcPr>
            <w:tcW w:w="4378" w:type="dxa"/>
            <w:gridSpan w:val="2"/>
            <w:tcBorders>
              <w:top w:val="single" w:sz="4" w:space="0" w:color="auto"/>
              <w:left w:val="nil"/>
              <w:bottom w:val="single" w:sz="4" w:space="0" w:color="auto"/>
              <w:right w:val="nil"/>
            </w:tcBorders>
          </w:tcPr>
          <w:p w:rsidR="008E6BBD" w:rsidRPr="00BD1158" w:rsidRDefault="008E6BBD" w:rsidP="008E6BBD">
            <w:pPr>
              <w:pStyle w:val="FSCtitle1"/>
            </w:pPr>
            <w:r w:rsidRPr="00C90C7D">
              <w:t xml:space="preserve">No. FSC </w:t>
            </w:r>
            <w:r>
              <w:t>81</w:t>
            </w:r>
            <w:r w:rsidRPr="00C90C7D">
              <w:t xml:space="preserve">, </w:t>
            </w:r>
            <w:r>
              <w:t>Thursd</w:t>
            </w:r>
            <w:r w:rsidRPr="00BD1158">
              <w:t xml:space="preserve">ay, </w:t>
            </w:r>
            <w:r w:rsidRPr="00B61FE0">
              <w:t>21 February</w:t>
            </w:r>
            <w:r w:rsidRPr="004E7F39">
              <w:rPr>
                <w:color w:val="FF0000"/>
              </w:rPr>
              <w:t xml:space="preserve"> </w:t>
            </w:r>
            <w:r w:rsidRPr="00BD1158">
              <w:t>2013</w:t>
            </w:r>
          </w:p>
          <w:p w:rsidR="00500FF0" w:rsidRDefault="00500FF0">
            <w:pPr>
              <w:rPr>
                <w:sz w:val="18"/>
              </w:rPr>
            </w:pPr>
            <w:r>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500FF0" w:rsidRDefault="00500FF0">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8E6BBD" w:rsidRPr="00C90C7D" w:rsidRDefault="008E6BBD" w:rsidP="008E6BBD">
      <w:pPr>
        <w:jc w:val="center"/>
        <w:rPr>
          <w:b/>
          <w:bCs/>
          <w:sz w:val="32"/>
          <w:szCs w:val="32"/>
        </w:rPr>
      </w:pPr>
      <w:r>
        <w:rPr>
          <w:b/>
          <w:bCs/>
          <w:sz w:val="32"/>
          <w:szCs w:val="32"/>
        </w:rPr>
        <w:t>AMENDMENT NO. 139</w:t>
      </w:r>
    </w:p>
    <w:p w:rsidR="008E6BBD" w:rsidRPr="00C90C7D" w:rsidRDefault="008E6BBD" w:rsidP="008E6BBD">
      <w:pPr>
        <w:jc w:val="center"/>
      </w:pPr>
      <w:r w:rsidRPr="00C90C7D">
        <w:t>The following instruments are separate instruments in the Federal Register of Legislative Instruments and are known collectively in the Food Standards Gazette as Amendment No. 13</w:t>
      </w:r>
      <w:r>
        <w:t>9</w:t>
      </w:r>
      <w:r w:rsidRPr="00C90C7D">
        <w:t>.</w:t>
      </w:r>
    </w:p>
    <w:p w:rsidR="008E6BBD" w:rsidRPr="00C90C7D" w:rsidRDefault="008E6BBD" w:rsidP="008E6BBD">
      <w:pPr>
        <w:jc w:val="center"/>
        <w:rPr>
          <w:b/>
          <w:bCs/>
          <w:sz w:val="32"/>
          <w:szCs w:val="32"/>
        </w:rPr>
      </w:pPr>
    </w:p>
    <w:p w:rsidR="008E6BBD" w:rsidRPr="00C90C7D" w:rsidRDefault="008E6BBD" w:rsidP="008E6BBD">
      <w:pPr>
        <w:jc w:val="center"/>
        <w:rPr>
          <w:b/>
          <w:bCs/>
          <w:sz w:val="32"/>
          <w:szCs w:val="32"/>
        </w:rPr>
      </w:pPr>
      <w:r w:rsidRPr="00C90C7D">
        <w:rPr>
          <w:b/>
          <w:bCs/>
          <w:sz w:val="32"/>
          <w:szCs w:val="32"/>
        </w:rPr>
        <w:t>TABLE OF CONTENTS</w:t>
      </w:r>
    </w:p>
    <w:p w:rsidR="008E6BBD" w:rsidRPr="00C90C7D" w:rsidRDefault="008E6BBD" w:rsidP="008E6BBD">
      <w:pPr>
        <w:jc w:val="center"/>
        <w:rPr>
          <w:b/>
          <w:bCs/>
          <w:sz w:val="32"/>
          <w:szCs w:val="32"/>
        </w:rPr>
      </w:pPr>
    </w:p>
    <w:p w:rsidR="008E6BBD" w:rsidRDefault="008E6BBD" w:rsidP="008E6BBD"/>
    <w:p w:rsidR="008E6BBD" w:rsidRPr="009614D8" w:rsidRDefault="008E6BBD" w:rsidP="008E6BBD">
      <w:pPr>
        <w:rPr>
          <w:rFonts w:cs="Arial"/>
          <w:b/>
        </w:rPr>
      </w:pPr>
      <w:r w:rsidRPr="009614D8">
        <w:rPr>
          <w:rFonts w:cs="Arial"/>
          <w:b/>
        </w:rPr>
        <w:t>Food Standards (Proposal P242 – Food for Special Medical Purposes – Consequential) Variation Amendment 2012 (No. 1)</w:t>
      </w:r>
    </w:p>
    <w:p w:rsidR="008E6BBD" w:rsidRPr="00162A71" w:rsidRDefault="008E6BBD" w:rsidP="008E6BBD">
      <w:pPr>
        <w:rPr>
          <w:rFonts w:cs="Arial"/>
          <w:b/>
        </w:rPr>
      </w:pPr>
      <w:r w:rsidRPr="00162A71">
        <w:rPr>
          <w:rFonts w:cs="Arial"/>
          <w:b/>
        </w:rPr>
        <w:t>Standard 2.9.5 – Food for Special Medical Purposes</w:t>
      </w:r>
      <w:r w:rsidRPr="00162A71">
        <w:rPr>
          <w:rFonts w:cs="Arial"/>
        </w:rPr>
        <w:t xml:space="preserve"> </w:t>
      </w:r>
      <w:r w:rsidRPr="00162A71">
        <w:rPr>
          <w:rFonts w:cs="Arial"/>
          <w:b/>
        </w:rPr>
        <w:t>Notice Amendment 2012 (No. 1)</w:t>
      </w:r>
    </w:p>
    <w:p w:rsidR="008E6BBD" w:rsidRPr="00D310B5" w:rsidRDefault="008E6BBD" w:rsidP="008E6BBD">
      <w:r w:rsidRPr="00D310B5">
        <w:rPr>
          <w:b/>
        </w:rPr>
        <w:t>Food Standards (Application A1043 – World Health Organization Limits for Packaged Water) Variation</w:t>
      </w:r>
    </w:p>
    <w:p w:rsidR="008E6BBD" w:rsidRPr="0016067A" w:rsidRDefault="008E6BBD" w:rsidP="008E6BBD">
      <w:pPr>
        <w:rPr>
          <w:b/>
        </w:rPr>
      </w:pPr>
      <w:r w:rsidRPr="0016067A">
        <w:rPr>
          <w:b/>
        </w:rPr>
        <w:t>Food Standards (Application A1070 – Packaging Size for Phytosterol-enriched Lower Fat Cheese) Variation</w:t>
      </w:r>
    </w:p>
    <w:p w:rsidR="008E6BBD" w:rsidRPr="0016067A" w:rsidRDefault="008E6BBD" w:rsidP="008E6BBD">
      <w:r w:rsidRPr="0016067A">
        <w:rPr>
          <w:b/>
        </w:rPr>
        <w:t>Food Standards (Application A1071 – Food derived from Glyphosate-tolerant Canola MON88302) Variation</w:t>
      </w:r>
    </w:p>
    <w:p w:rsidR="008E6BBD" w:rsidRPr="00C90C7D" w:rsidRDefault="008E6BBD" w:rsidP="008E6BBD">
      <w:pPr>
        <w:rPr>
          <w:b/>
        </w:rPr>
      </w:pPr>
      <w:r w:rsidRPr="00DB0791">
        <w:rPr>
          <w:b/>
        </w:rPr>
        <w:t>Food Standards (Proposal 1023 –</w:t>
      </w:r>
      <w:r w:rsidRPr="00DB0791">
        <w:t xml:space="preserve"> </w:t>
      </w:r>
      <w:r w:rsidRPr="00DB0791">
        <w:rPr>
          <w:b/>
        </w:rPr>
        <w:t>Tutin, Tocopherols &amp; Food for Special Medical Purposes Standards Amendments) 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1E3222" w:rsidP="001E3222"/>
    <w:p w:rsidR="00161FA0" w:rsidRDefault="00161FA0" w:rsidP="001E3222"/>
    <w:p w:rsidR="00161FA0" w:rsidRDefault="00161FA0" w:rsidP="001E3222"/>
    <w:p w:rsidR="00161FA0" w:rsidRDefault="00161FA0" w:rsidP="001E3222"/>
    <w:p w:rsidR="00161FA0" w:rsidRDefault="00161FA0" w:rsidP="001E3222"/>
    <w:p w:rsidR="00161FA0" w:rsidRDefault="00161FA0" w:rsidP="001E3222"/>
    <w:p w:rsidR="00161FA0" w:rsidRPr="001E3222" w:rsidRDefault="00161FA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Pr="008E6BBD">
        <w:rPr>
          <w:sz w:val="16"/>
          <w:szCs w:val="16"/>
        </w:rPr>
        <w:t>a 2013</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8E6BBD" w:rsidRPr="008E6BBD" w:rsidRDefault="008E6BBD" w:rsidP="008E6BBD">
      <w:pPr>
        <w:pBdr>
          <w:bottom w:val="single" w:sz="4" w:space="1" w:color="auto"/>
        </w:pBdr>
        <w:rPr>
          <w:lang w:bidi="en-US"/>
        </w:rPr>
      </w:pPr>
      <w:r w:rsidRPr="008E6BBD">
        <w:rPr>
          <w:noProof/>
          <w:szCs w:val="24"/>
          <w:lang w:eastAsia="en-GB"/>
        </w:rPr>
        <w:lastRenderedPageBreak/>
        <w:drawing>
          <wp:inline distT="0" distB="0" distL="0" distR="0" wp14:anchorId="7E3A8CB7" wp14:editId="2735386D">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pBdr>
          <w:bottom w:val="single" w:sz="4" w:space="1" w:color="auto"/>
        </w:pBdr>
        <w:tabs>
          <w:tab w:val="clear" w:pos="851"/>
        </w:tabs>
        <w:rPr>
          <w:lang w:bidi="en-US"/>
        </w:rPr>
      </w:pPr>
    </w:p>
    <w:p w:rsidR="008E6BBD" w:rsidRPr="008E6BBD" w:rsidRDefault="008E6BBD" w:rsidP="008E6BBD">
      <w:pPr>
        <w:pBdr>
          <w:bottom w:val="single" w:sz="4" w:space="1" w:color="auto"/>
        </w:pBdr>
        <w:tabs>
          <w:tab w:val="clear" w:pos="851"/>
        </w:tabs>
        <w:rPr>
          <w:rFonts w:cs="Arial"/>
          <w:b/>
          <w:lang w:bidi="en-US"/>
        </w:rPr>
      </w:pPr>
      <w:r w:rsidRPr="008E6BBD">
        <w:rPr>
          <w:rFonts w:cs="Arial"/>
          <w:b/>
          <w:lang w:bidi="en-US"/>
        </w:rPr>
        <w:t>Food Standards (Proposal P242 – Food for Special Medical Purposes – Consequential) Variation Amendment 2012 (No. 1)</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The Board of Food Standards Australia New Zealand gives notice of the making of this variation under section 92 of the </w:t>
      </w:r>
      <w:r w:rsidRPr="008E6BBD">
        <w:rPr>
          <w:i/>
          <w:lang w:bidi="en-US"/>
        </w:rPr>
        <w:t>Food Standards Australia New Zealand Act 1991</w:t>
      </w:r>
      <w:r w:rsidRPr="008E6BBD">
        <w:rPr>
          <w:lang w:bidi="en-US"/>
        </w:rPr>
        <w:t>. This variation commences on the date specified in clause 2 of this instrument.</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Dated 15 February 2013 </w:t>
      </w:r>
    </w:p>
    <w:p w:rsidR="008E6BBD" w:rsidRPr="008E6BBD" w:rsidRDefault="008E6BBD" w:rsidP="008E6BBD">
      <w:pPr>
        <w:tabs>
          <w:tab w:val="clear" w:pos="851"/>
        </w:tabs>
        <w:rPr>
          <w:lang w:bidi="en-US"/>
        </w:rPr>
      </w:pPr>
      <w:r w:rsidRPr="008E6BBD">
        <w:rPr>
          <w:rFonts w:eastAsiaTheme="minorHAnsi" w:cstheme="minorBidi"/>
          <w:noProof/>
          <w:sz w:val="22"/>
          <w:szCs w:val="24"/>
          <w:lang w:eastAsia="en-GB"/>
        </w:rPr>
        <w:drawing>
          <wp:inline distT="0" distB="0" distL="0" distR="0" wp14:anchorId="3FC26F4F" wp14:editId="21350F01">
            <wp:extent cx="1343025" cy="787400"/>
            <wp:effectExtent l="0" t="0" r="9525" b="0"/>
            <wp:docPr id="11" name="Picture 1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pPr>
        <w:tabs>
          <w:tab w:val="clear" w:pos="851"/>
        </w:tabs>
        <w:rPr>
          <w:lang w:bidi="en-US"/>
        </w:rPr>
      </w:pPr>
      <w:r w:rsidRPr="008E6BBD">
        <w:rPr>
          <w:lang w:bidi="en-US"/>
        </w:rPr>
        <w:t>Standards Management Officer</w:t>
      </w:r>
    </w:p>
    <w:p w:rsidR="008E6BBD" w:rsidRPr="008E6BBD" w:rsidRDefault="008E6BBD" w:rsidP="008E6BBD">
      <w:pPr>
        <w:tabs>
          <w:tab w:val="clear" w:pos="851"/>
        </w:tabs>
        <w:rPr>
          <w:lang w:bidi="en-US"/>
        </w:rPr>
      </w:pPr>
      <w:r w:rsidRPr="008E6BBD">
        <w:rPr>
          <w:lang w:bidi="en-US"/>
        </w:rPr>
        <w:t>Delegate of the Board of Food Standards Australia New Zealand</w:t>
      </w:r>
    </w:p>
    <w:p w:rsidR="008E6BBD" w:rsidRPr="008E6BBD" w:rsidRDefault="008E6BBD" w:rsidP="008E6BBD">
      <w:pPr>
        <w:widowControl/>
        <w:tabs>
          <w:tab w:val="clear" w:pos="851"/>
        </w:tabs>
        <w:spacing w:after="200" w:line="276" w:lineRule="auto"/>
        <w:rPr>
          <w:lang w:bidi="en-US"/>
        </w:rPr>
      </w:pPr>
      <w:r w:rsidRPr="008E6BBD">
        <w:rPr>
          <w:lang w:bidi="en-US"/>
        </w:rPr>
        <w:br w:type="page"/>
      </w:r>
    </w:p>
    <w:p w:rsidR="008E6BBD" w:rsidRPr="008E6BBD" w:rsidRDefault="008E6BBD" w:rsidP="008E6BBD">
      <w:pPr>
        <w:keepNext/>
        <w:rPr>
          <w:rFonts w:cs="Arial"/>
          <w:b/>
        </w:rPr>
      </w:pPr>
      <w:r w:rsidRPr="008E6BBD">
        <w:rPr>
          <w:rFonts w:cs="Arial"/>
          <w:b/>
        </w:rPr>
        <w:lastRenderedPageBreak/>
        <w:t>1</w:t>
      </w:r>
      <w:r w:rsidRPr="008E6BBD">
        <w:rPr>
          <w:rFonts w:cs="Arial"/>
          <w:b/>
        </w:rPr>
        <w:tab/>
        <w:t>Name</w:t>
      </w:r>
    </w:p>
    <w:p w:rsidR="008E6BBD" w:rsidRPr="008E6BBD" w:rsidRDefault="008E6BBD" w:rsidP="008E6BBD">
      <w:pPr>
        <w:rPr>
          <w:rFonts w:cs="Arial"/>
        </w:rPr>
      </w:pPr>
    </w:p>
    <w:p w:rsidR="008E6BBD" w:rsidRPr="008E6BBD" w:rsidRDefault="008E6BBD" w:rsidP="008E6BBD">
      <w:pPr>
        <w:rPr>
          <w:rFonts w:cs="Arial"/>
          <w:i/>
        </w:rPr>
      </w:pPr>
      <w:r w:rsidRPr="008E6BBD">
        <w:rPr>
          <w:rFonts w:cs="Arial"/>
        </w:rPr>
        <w:t xml:space="preserve">This instrument is the </w:t>
      </w:r>
      <w:r w:rsidRPr="008E6BBD">
        <w:rPr>
          <w:rFonts w:cs="Arial"/>
          <w:i/>
        </w:rPr>
        <w:t>Food Standards (Proposal P242 – Food for Special Medical Purposes – Consequential) Variation Amendment 2012 (No. 1).</w:t>
      </w:r>
    </w:p>
    <w:p w:rsidR="008E6BBD" w:rsidRPr="008E6BBD" w:rsidRDefault="008E6BBD" w:rsidP="008E6BBD">
      <w:pPr>
        <w:keepNext/>
        <w:rPr>
          <w:rFonts w:cs="Arial"/>
          <w:b/>
        </w:rPr>
      </w:pPr>
    </w:p>
    <w:p w:rsidR="008E6BBD" w:rsidRPr="008E6BBD" w:rsidRDefault="008E6BBD" w:rsidP="008E6BBD">
      <w:pPr>
        <w:keepNext/>
        <w:rPr>
          <w:rFonts w:cs="Arial"/>
          <w:b/>
        </w:rPr>
      </w:pPr>
      <w:r w:rsidRPr="008E6BBD">
        <w:rPr>
          <w:rFonts w:cs="Arial"/>
          <w:b/>
        </w:rPr>
        <w:t>2.</w:t>
      </w:r>
      <w:r w:rsidRPr="008E6BBD">
        <w:rPr>
          <w:rFonts w:cs="Arial"/>
          <w:b/>
        </w:rPr>
        <w:tab/>
        <w:t>Commencement</w:t>
      </w:r>
    </w:p>
    <w:p w:rsidR="008E6BBD" w:rsidRPr="008E6BBD" w:rsidRDefault="008E6BBD" w:rsidP="008E6BBD">
      <w:pPr>
        <w:keepNext/>
        <w:rPr>
          <w:rFonts w:cs="Arial"/>
          <w:b/>
        </w:rPr>
      </w:pPr>
    </w:p>
    <w:p w:rsidR="008E6BBD" w:rsidRPr="008E6BBD" w:rsidRDefault="008E6BBD" w:rsidP="008E6BBD">
      <w:pPr>
        <w:tabs>
          <w:tab w:val="clear" w:pos="851"/>
        </w:tabs>
        <w:rPr>
          <w:lang w:bidi="en-US"/>
        </w:rPr>
      </w:pPr>
      <w:r w:rsidRPr="008E6BBD">
        <w:rPr>
          <w:lang w:bidi="en-US"/>
        </w:rPr>
        <w:t>This instrument commences on 21 February 2013.</w:t>
      </w:r>
    </w:p>
    <w:p w:rsidR="008E6BBD" w:rsidRPr="008E6BBD" w:rsidRDefault="008E6BBD" w:rsidP="008E6BBD">
      <w:pPr>
        <w:keepNext/>
        <w:rPr>
          <w:rFonts w:cs="Arial"/>
          <w:b/>
        </w:rPr>
      </w:pPr>
    </w:p>
    <w:p w:rsidR="008E6BBD" w:rsidRPr="008E6BBD" w:rsidRDefault="008E6BBD" w:rsidP="008E6BBD">
      <w:pPr>
        <w:keepNext/>
        <w:rPr>
          <w:rFonts w:cs="Arial"/>
          <w:b/>
        </w:rPr>
      </w:pPr>
      <w:r w:rsidRPr="008E6BBD">
        <w:rPr>
          <w:rFonts w:cs="Arial"/>
          <w:b/>
        </w:rPr>
        <w:t>3.</w:t>
      </w:r>
      <w:r w:rsidRPr="008E6BBD">
        <w:rPr>
          <w:rFonts w:cs="Arial"/>
          <w:b/>
        </w:rPr>
        <w:tab/>
        <w:t>Variation to Legislative Instrument</w:t>
      </w:r>
    </w:p>
    <w:p w:rsidR="008E6BBD" w:rsidRPr="008E6BBD" w:rsidRDefault="008E6BBD" w:rsidP="008E6BBD">
      <w:pPr>
        <w:rPr>
          <w:rFonts w:cs="Arial"/>
        </w:rPr>
      </w:pPr>
    </w:p>
    <w:p w:rsidR="008E6BBD" w:rsidRPr="008E6BBD" w:rsidRDefault="008E6BBD" w:rsidP="008E6BBD">
      <w:pPr>
        <w:rPr>
          <w:rFonts w:cs="Arial"/>
        </w:rPr>
      </w:pPr>
      <w:r w:rsidRPr="008E6BBD">
        <w:rPr>
          <w:rFonts w:cs="Arial"/>
        </w:rPr>
        <w:t xml:space="preserve">The Schedule varies </w:t>
      </w:r>
      <w:r w:rsidRPr="008E6BBD">
        <w:rPr>
          <w:rFonts w:cs="Arial"/>
          <w:i/>
        </w:rPr>
        <w:t>Food Standards (Proposal P242 – Food for Special Medical Purposes – Consequential) Variation</w:t>
      </w:r>
      <w:r w:rsidRPr="008E6BBD">
        <w:rPr>
          <w:rFonts w:cs="Arial"/>
        </w:rPr>
        <w:t>.</w:t>
      </w:r>
    </w:p>
    <w:p w:rsidR="008E6BBD" w:rsidRPr="008E6BBD" w:rsidRDefault="008E6BBD" w:rsidP="008E6BBD">
      <w:pPr>
        <w:tabs>
          <w:tab w:val="clear" w:pos="851"/>
        </w:tabs>
        <w:rPr>
          <w:rFonts w:cs="Arial"/>
          <w:lang w:bidi="en-US"/>
        </w:rPr>
      </w:pPr>
    </w:p>
    <w:p w:rsidR="008E6BBD" w:rsidRPr="008E6BBD" w:rsidRDefault="008E6BBD" w:rsidP="008E6BBD">
      <w:pPr>
        <w:jc w:val="center"/>
        <w:rPr>
          <w:rFonts w:cs="Arial"/>
          <w:b/>
          <w:caps/>
          <w:lang w:bidi="en-US"/>
        </w:rPr>
      </w:pPr>
      <w:r w:rsidRPr="008E6BBD">
        <w:rPr>
          <w:rFonts w:cs="Arial"/>
          <w:b/>
          <w:caps/>
          <w:lang w:bidi="en-US"/>
        </w:rPr>
        <w:t xml:space="preserve">SCHEDULE </w:t>
      </w:r>
    </w:p>
    <w:p w:rsidR="008E6BBD" w:rsidRPr="008E6BBD" w:rsidRDefault="008E6BBD" w:rsidP="008E6BBD">
      <w:pPr>
        <w:tabs>
          <w:tab w:val="clear" w:pos="851"/>
        </w:tabs>
        <w:rPr>
          <w:lang w:bidi="en-US"/>
        </w:rPr>
      </w:pPr>
    </w:p>
    <w:p w:rsidR="008E6BBD" w:rsidRPr="008E6BBD" w:rsidRDefault="008E6BBD" w:rsidP="008E6BBD">
      <w:pPr>
        <w:rPr>
          <w:rFonts w:cs="Arial"/>
        </w:rPr>
      </w:pPr>
      <w:r w:rsidRPr="008E6BBD">
        <w:rPr>
          <w:rFonts w:cs="Arial"/>
          <w:bCs/>
        </w:rPr>
        <w:t>[1]</w:t>
      </w:r>
      <w:r w:rsidRPr="008E6BBD">
        <w:rPr>
          <w:rFonts w:cs="Arial"/>
        </w:rPr>
        <w:tab/>
      </w:r>
      <w:r w:rsidRPr="008E6BBD">
        <w:rPr>
          <w:rFonts w:cs="Arial"/>
          <w:i/>
        </w:rPr>
        <w:t>Food Standards (Proposal P242 – Food for Special Medical Purposes – Consequential) Variation</w:t>
      </w:r>
      <w:r w:rsidRPr="008E6BBD">
        <w:rPr>
          <w:rFonts w:cs="Arial"/>
          <w:b/>
          <w:i/>
        </w:rPr>
        <w:t xml:space="preserve"> </w:t>
      </w:r>
      <w:r w:rsidRPr="008E6BBD">
        <w:rPr>
          <w:rFonts w:cs="Arial"/>
        </w:rPr>
        <w:t xml:space="preserve">is varied by </w:t>
      </w:r>
    </w:p>
    <w:p w:rsidR="008E6BBD" w:rsidRPr="008E6BBD" w:rsidRDefault="008E6BBD" w:rsidP="008E6BBD">
      <w:pPr>
        <w:tabs>
          <w:tab w:val="clear" w:pos="851"/>
        </w:tabs>
        <w:rPr>
          <w:lang w:bidi="en-US"/>
        </w:rPr>
      </w:pPr>
    </w:p>
    <w:p w:rsidR="008E6BBD" w:rsidRPr="008E6BBD" w:rsidRDefault="008E6BBD" w:rsidP="008E6BBD">
      <w:r w:rsidRPr="008E6BBD">
        <w:t>[1.1]</w:t>
      </w:r>
      <w:r w:rsidRPr="008E6BBD">
        <w:tab/>
        <w:t>omitting from clause 3 “28 June 2014” and substituting “the date of gazettal of Food Standards (Proposal 1023 – Tutin, Tocopherols &amp; Food for Special Medical Purposes Standards Amendments) Variation.”</w:t>
      </w:r>
    </w:p>
    <w:p w:rsidR="008E6BBD" w:rsidRPr="008E6BBD" w:rsidRDefault="008E6BBD" w:rsidP="008E6BBD">
      <w:pPr>
        <w:tabs>
          <w:tab w:val="clear" w:pos="851"/>
        </w:tabs>
        <w:rPr>
          <w:rFonts w:cs="Arial"/>
          <w:lang w:bidi="en-US"/>
        </w:rPr>
      </w:pPr>
    </w:p>
    <w:p w:rsidR="008E6BBD" w:rsidRPr="008E6BBD" w:rsidRDefault="008E6BBD" w:rsidP="008E6BBD">
      <w:r w:rsidRPr="008E6BBD">
        <w:t>[1.2]</w:t>
      </w:r>
      <w:r w:rsidRPr="008E6BBD">
        <w:tab/>
        <w:t>omitting Item [2] of the Schedule and substituting</w:t>
      </w:r>
    </w:p>
    <w:p w:rsidR="008E6BBD" w:rsidRPr="008E6BBD" w:rsidRDefault="008E6BBD" w:rsidP="008E6BBD">
      <w:pPr>
        <w:tabs>
          <w:tab w:val="clear" w:pos="851"/>
        </w:tabs>
        <w:rPr>
          <w:lang w:bidi="en-US"/>
        </w:rPr>
      </w:pPr>
    </w:p>
    <w:p w:rsidR="008E6BBD" w:rsidRPr="008E6BBD" w:rsidRDefault="008E6BBD" w:rsidP="008E6BBD">
      <w:r w:rsidRPr="008E6BBD">
        <w:t>“</w:t>
      </w:r>
      <w:r w:rsidRPr="008E6BBD">
        <w:rPr>
          <w:b/>
        </w:rPr>
        <w:t xml:space="preserve">[2] </w:t>
      </w:r>
      <w:r w:rsidRPr="008E6BBD">
        <w:tab/>
      </w:r>
      <w:r w:rsidRPr="008E6BBD">
        <w:rPr>
          <w:b/>
        </w:rPr>
        <w:t>Standard 1.1A.6</w:t>
      </w:r>
      <w:r w:rsidRPr="008E6BBD">
        <w:rPr>
          <w:b/>
          <w:i/>
        </w:rPr>
        <w:t xml:space="preserve"> </w:t>
      </w:r>
      <w:r w:rsidRPr="008E6BBD">
        <w:t>is varied by omitting subclause 2(3), substituting</w:t>
      </w:r>
    </w:p>
    <w:p w:rsidR="008E6BBD" w:rsidRPr="008E6BBD" w:rsidRDefault="008E6BBD" w:rsidP="008E6BBD">
      <w:pPr>
        <w:tabs>
          <w:tab w:val="clear" w:pos="851"/>
        </w:tabs>
        <w:rPr>
          <w:rFonts w:cs="Arial"/>
          <w:lang w:bidi="en-US"/>
        </w:rPr>
      </w:pPr>
    </w:p>
    <w:p w:rsidR="008E6BBD" w:rsidRPr="008E6BBD" w:rsidRDefault="008E6BBD" w:rsidP="008E6BBD">
      <w:r w:rsidRPr="008E6BBD">
        <w:t>(3)</w:t>
      </w:r>
      <w:r w:rsidRPr="008E6BBD">
        <w:tab/>
        <w:t>This Standard ceases to have effect in relation to:</w:t>
      </w:r>
    </w:p>
    <w:p w:rsidR="008E6BBD" w:rsidRPr="008E6BBD" w:rsidRDefault="008E6BBD" w:rsidP="008E6BBD">
      <w:pPr>
        <w:tabs>
          <w:tab w:val="clear" w:pos="851"/>
        </w:tabs>
        <w:rPr>
          <w:rFonts w:cs="Arial"/>
          <w:lang w:bidi="en-US"/>
        </w:rPr>
      </w:pPr>
    </w:p>
    <w:p w:rsidR="008E6BBD" w:rsidRPr="008E6BBD" w:rsidRDefault="008E6BBD" w:rsidP="008E6BBD">
      <w:pPr>
        <w:tabs>
          <w:tab w:val="clear" w:pos="851"/>
        </w:tabs>
        <w:ind w:left="1702" w:hanging="851"/>
      </w:pPr>
      <w:r w:rsidRPr="008E6BBD">
        <w:t>(a)</w:t>
      </w:r>
      <w:r w:rsidRPr="008E6BBD">
        <w:tab/>
        <w:t>food for special medical purposes on the date of gazettal of Food Standards (Proposal 1023 – Tutin, Tocopherols &amp; Food for Special Medical Purposes Standards Amendments) Variation; and</w:t>
      </w:r>
    </w:p>
    <w:p w:rsidR="008E6BBD" w:rsidRPr="008E6BBD" w:rsidRDefault="008E6BBD" w:rsidP="008E6BBD">
      <w:pPr>
        <w:tabs>
          <w:tab w:val="clear" w:pos="851"/>
        </w:tabs>
        <w:ind w:left="1702" w:hanging="851"/>
      </w:pPr>
      <w:r w:rsidRPr="008E6BBD">
        <w:t>(b)</w:t>
      </w:r>
      <w:r w:rsidRPr="008E6BBD">
        <w:tab/>
        <w:t>other special purposes food, including food formulated and represented as being for the dietary management of obesity or overweight, two years from the commencement of any alternative applicable provisions elsewhere in this Code.”</w:t>
      </w:r>
    </w:p>
    <w:p w:rsidR="008E6BBD" w:rsidRPr="008E6BBD" w:rsidRDefault="008E6BBD" w:rsidP="008E6BBD">
      <w:pPr>
        <w:tabs>
          <w:tab w:val="clear" w:pos="851"/>
        </w:tabs>
        <w:rPr>
          <w:szCs w:val="24"/>
          <w:lang w:bidi="en-US"/>
        </w:rPr>
      </w:pPr>
    </w:p>
    <w:p w:rsidR="008E6BBD" w:rsidRPr="008E6BBD" w:rsidRDefault="008E6BBD" w:rsidP="008E6BBD">
      <w:pPr>
        <w:widowControl/>
        <w:rPr>
          <w:noProof/>
          <w:szCs w:val="24"/>
          <w:lang w:eastAsia="en-AU" w:bidi="en-US"/>
        </w:rPr>
      </w:pPr>
      <w:r w:rsidRPr="008E6BBD">
        <w:rPr>
          <w:noProof/>
          <w:szCs w:val="24"/>
          <w:lang w:val="en-AU" w:eastAsia="en-AU" w:bidi="en-US"/>
        </w:rPr>
        <w:br w:type="page"/>
      </w:r>
      <w:r w:rsidRPr="008E6BBD">
        <w:rPr>
          <w:noProof/>
          <w:szCs w:val="24"/>
          <w:lang w:eastAsia="en-GB"/>
        </w:rPr>
        <w:lastRenderedPageBreak/>
        <w:drawing>
          <wp:inline distT="0" distB="0" distL="0" distR="0" wp14:anchorId="0B8D6305" wp14:editId="4A1C7F7F">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tabs>
          <w:tab w:val="clear" w:pos="851"/>
        </w:tabs>
        <w:rPr>
          <w:szCs w:val="24"/>
          <w:lang w:bidi="en-US"/>
        </w:rPr>
      </w:pPr>
    </w:p>
    <w:p w:rsidR="008E6BBD" w:rsidRPr="008E6BBD" w:rsidRDefault="008E6BBD" w:rsidP="008E6BBD">
      <w:pPr>
        <w:pBdr>
          <w:bottom w:val="single" w:sz="4" w:space="1" w:color="auto"/>
        </w:pBdr>
        <w:tabs>
          <w:tab w:val="clear" w:pos="851"/>
        </w:tabs>
        <w:rPr>
          <w:rFonts w:cs="Arial"/>
          <w:b/>
          <w:lang w:bidi="en-US"/>
        </w:rPr>
      </w:pPr>
      <w:r w:rsidRPr="008E6BBD">
        <w:rPr>
          <w:rFonts w:cs="Arial"/>
          <w:b/>
          <w:lang w:bidi="en-US"/>
        </w:rPr>
        <w:t>Standard 2.9.5 – Food for Special Medical Purposes</w:t>
      </w:r>
      <w:r w:rsidRPr="008E6BBD">
        <w:rPr>
          <w:rFonts w:cs="Arial"/>
          <w:lang w:bidi="en-US"/>
        </w:rPr>
        <w:t xml:space="preserve"> </w:t>
      </w:r>
      <w:r w:rsidRPr="008E6BBD">
        <w:rPr>
          <w:rFonts w:cs="Arial"/>
          <w:b/>
          <w:lang w:bidi="en-US"/>
        </w:rPr>
        <w:t>Notice Amendment 2012 (No. 1)</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The Board of Food Standards Australia New Zealand gives notice of the making of this variation under section 92 of the </w:t>
      </w:r>
      <w:r w:rsidRPr="008E6BBD">
        <w:rPr>
          <w:i/>
          <w:lang w:bidi="en-US"/>
        </w:rPr>
        <w:t>Food Standards Australia New Zealand Act 1991</w:t>
      </w:r>
      <w:r w:rsidRPr="008E6BBD">
        <w:rPr>
          <w:lang w:bidi="en-US"/>
        </w:rPr>
        <w:t>. This variation commences on the date specified in clause 2 of this instrument.</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Dated 15 February 2013 </w:t>
      </w:r>
    </w:p>
    <w:p w:rsidR="008E6BBD" w:rsidRPr="008E6BBD" w:rsidRDefault="008E6BBD" w:rsidP="008E6BBD">
      <w:pPr>
        <w:tabs>
          <w:tab w:val="clear" w:pos="851"/>
        </w:tabs>
        <w:rPr>
          <w:lang w:bidi="en-US"/>
        </w:rPr>
      </w:pPr>
      <w:r w:rsidRPr="008E6BBD">
        <w:rPr>
          <w:rFonts w:eastAsiaTheme="minorHAnsi" w:cstheme="minorBidi"/>
          <w:noProof/>
          <w:sz w:val="22"/>
          <w:szCs w:val="24"/>
          <w:lang w:eastAsia="en-GB"/>
        </w:rPr>
        <w:drawing>
          <wp:inline distT="0" distB="0" distL="0" distR="0" wp14:anchorId="42540C52" wp14:editId="2D696FD2">
            <wp:extent cx="1343025" cy="787400"/>
            <wp:effectExtent l="0" t="0" r="9525" b="0"/>
            <wp:docPr id="13" name="Picture 13"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pPr>
        <w:tabs>
          <w:tab w:val="clear" w:pos="851"/>
        </w:tabs>
        <w:rPr>
          <w:lang w:bidi="en-US"/>
        </w:rPr>
      </w:pPr>
      <w:r w:rsidRPr="008E6BBD">
        <w:rPr>
          <w:lang w:bidi="en-US"/>
        </w:rPr>
        <w:t>Standards Management Officer</w:t>
      </w:r>
    </w:p>
    <w:p w:rsidR="008E6BBD" w:rsidRPr="008E6BBD" w:rsidRDefault="008E6BBD" w:rsidP="008E6BBD">
      <w:pPr>
        <w:tabs>
          <w:tab w:val="clear" w:pos="851"/>
        </w:tabs>
        <w:rPr>
          <w:lang w:bidi="en-US"/>
        </w:rPr>
      </w:pPr>
      <w:r w:rsidRPr="008E6BBD">
        <w:rPr>
          <w:lang w:bidi="en-US"/>
        </w:rPr>
        <w:t>Delegate of the Board of Food Standards Australia New Zealand</w:t>
      </w:r>
    </w:p>
    <w:p w:rsidR="008E6BBD" w:rsidRPr="008E6BBD" w:rsidRDefault="008E6BBD" w:rsidP="008E6BBD">
      <w:pPr>
        <w:widowControl/>
        <w:tabs>
          <w:tab w:val="clear" w:pos="851"/>
        </w:tabs>
        <w:spacing w:after="200" w:line="276" w:lineRule="auto"/>
        <w:rPr>
          <w:sz w:val="22"/>
          <w:szCs w:val="24"/>
          <w:lang w:bidi="en-US"/>
        </w:rPr>
      </w:pPr>
      <w:r w:rsidRPr="008E6BBD">
        <w:rPr>
          <w:sz w:val="22"/>
          <w:szCs w:val="24"/>
          <w:lang w:bidi="en-US"/>
        </w:rPr>
        <w:br w:type="page"/>
      </w:r>
    </w:p>
    <w:p w:rsidR="008E6BBD" w:rsidRPr="008E6BBD" w:rsidRDefault="008E6BBD" w:rsidP="008E6BBD">
      <w:pPr>
        <w:keepNext/>
        <w:rPr>
          <w:rFonts w:cs="Arial"/>
          <w:b/>
        </w:rPr>
      </w:pPr>
      <w:r w:rsidRPr="008E6BBD">
        <w:rPr>
          <w:rFonts w:cs="Arial"/>
          <w:b/>
        </w:rPr>
        <w:lastRenderedPageBreak/>
        <w:t>1</w:t>
      </w:r>
      <w:r w:rsidRPr="008E6BBD">
        <w:rPr>
          <w:rFonts w:cs="Arial"/>
          <w:b/>
        </w:rPr>
        <w:tab/>
        <w:t>Name</w:t>
      </w:r>
    </w:p>
    <w:p w:rsidR="008E6BBD" w:rsidRPr="008E6BBD" w:rsidRDefault="008E6BBD" w:rsidP="008E6BBD">
      <w:pPr>
        <w:rPr>
          <w:rFonts w:cs="Arial"/>
        </w:rPr>
      </w:pPr>
    </w:p>
    <w:p w:rsidR="008E6BBD" w:rsidRPr="008E6BBD" w:rsidRDefault="008E6BBD" w:rsidP="008E6BBD">
      <w:pPr>
        <w:rPr>
          <w:rFonts w:cs="Arial"/>
          <w:i/>
        </w:rPr>
      </w:pPr>
      <w:r w:rsidRPr="008E6BBD">
        <w:rPr>
          <w:rFonts w:cs="Arial"/>
        </w:rPr>
        <w:t xml:space="preserve">This instrument is the </w:t>
      </w:r>
      <w:r w:rsidRPr="008E6BBD">
        <w:rPr>
          <w:rFonts w:cs="Arial"/>
          <w:i/>
        </w:rPr>
        <w:t xml:space="preserve">Standard 2.9.5 – Food for Special Medical Purposes Notice Amendment 2012 (No.1). </w:t>
      </w:r>
    </w:p>
    <w:p w:rsidR="008E6BBD" w:rsidRPr="008E6BBD" w:rsidRDefault="008E6BBD" w:rsidP="008E6BBD">
      <w:pPr>
        <w:keepNext/>
        <w:rPr>
          <w:rFonts w:cs="Arial"/>
        </w:rPr>
      </w:pPr>
    </w:p>
    <w:p w:rsidR="008E6BBD" w:rsidRPr="008E6BBD" w:rsidRDefault="008E6BBD" w:rsidP="008E6BBD">
      <w:pPr>
        <w:keepNext/>
        <w:rPr>
          <w:rFonts w:cs="Arial"/>
          <w:b/>
        </w:rPr>
      </w:pPr>
      <w:r w:rsidRPr="008E6BBD">
        <w:rPr>
          <w:rFonts w:cs="Arial"/>
          <w:b/>
        </w:rPr>
        <w:t>2.</w:t>
      </w:r>
      <w:r w:rsidRPr="008E6BBD">
        <w:rPr>
          <w:rFonts w:cs="Arial"/>
          <w:b/>
        </w:rPr>
        <w:tab/>
        <w:t>Commencement</w:t>
      </w:r>
    </w:p>
    <w:p w:rsidR="008E6BBD" w:rsidRPr="008E6BBD" w:rsidRDefault="008E6BBD" w:rsidP="008E6BBD">
      <w:pPr>
        <w:keepNext/>
        <w:rPr>
          <w:rFonts w:cs="Arial"/>
          <w:b/>
        </w:rPr>
      </w:pPr>
    </w:p>
    <w:p w:rsidR="008E6BBD" w:rsidRPr="008E6BBD" w:rsidRDefault="008E6BBD" w:rsidP="008E6BBD">
      <w:pPr>
        <w:tabs>
          <w:tab w:val="clear" w:pos="851"/>
        </w:tabs>
        <w:rPr>
          <w:szCs w:val="24"/>
          <w:lang w:bidi="en-US"/>
        </w:rPr>
      </w:pPr>
      <w:r w:rsidRPr="008E6BBD">
        <w:rPr>
          <w:szCs w:val="24"/>
          <w:lang w:bidi="en-US"/>
        </w:rPr>
        <w:t>This instrument commences on 21 February 2013.</w:t>
      </w:r>
    </w:p>
    <w:p w:rsidR="008E6BBD" w:rsidRPr="008E6BBD" w:rsidRDefault="008E6BBD" w:rsidP="008E6BBD">
      <w:pPr>
        <w:keepNext/>
        <w:rPr>
          <w:rFonts w:cs="Arial"/>
          <w:b/>
        </w:rPr>
      </w:pPr>
    </w:p>
    <w:p w:rsidR="008E6BBD" w:rsidRPr="008E6BBD" w:rsidRDefault="008E6BBD" w:rsidP="008E6BBD">
      <w:pPr>
        <w:keepNext/>
        <w:rPr>
          <w:rFonts w:cs="Arial"/>
          <w:b/>
        </w:rPr>
      </w:pPr>
      <w:r w:rsidRPr="008E6BBD">
        <w:rPr>
          <w:rFonts w:cs="Arial"/>
          <w:b/>
        </w:rPr>
        <w:t>3.</w:t>
      </w:r>
      <w:r w:rsidRPr="008E6BBD">
        <w:rPr>
          <w:rFonts w:cs="Arial"/>
          <w:b/>
        </w:rPr>
        <w:tab/>
        <w:t xml:space="preserve">Variation to instrument </w:t>
      </w:r>
    </w:p>
    <w:p w:rsidR="008E6BBD" w:rsidRPr="008E6BBD" w:rsidRDefault="008E6BBD" w:rsidP="008E6BBD">
      <w:pPr>
        <w:rPr>
          <w:rFonts w:cs="Arial"/>
        </w:rPr>
      </w:pPr>
    </w:p>
    <w:p w:rsidR="008E6BBD" w:rsidRPr="008E6BBD" w:rsidRDefault="008E6BBD" w:rsidP="008E6BBD">
      <w:pPr>
        <w:rPr>
          <w:rFonts w:cs="Arial"/>
        </w:rPr>
      </w:pPr>
      <w:r w:rsidRPr="008E6BBD">
        <w:rPr>
          <w:rFonts w:cs="Arial"/>
        </w:rPr>
        <w:t xml:space="preserve">The Schedule varies the notice given under section 92 of the </w:t>
      </w:r>
      <w:r w:rsidRPr="008E6BBD">
        <w:rPr>
          <w:i/>
        </w:rPr>
        <w:t xml:space="preserve">Food Standards Australia New Zealand Act 1991 </w:t>
      </w:r>
      <w:r w:rsidRPr="008E6BBD">
        <w:t xml:space="preserve">for </w:t>
      </w:r>
      <w:r w:rsidRPr="008E6BBD">
        <w:rPr>
          <w:rFonts w:cs="Arial"/>
          <w:i/>
        </w:rPr>
        <w:t xml:space="preserve">Standard 2.9.5 – Food for Special Medical Purposes </w:t>
      </w:r>
      <w:r w:rsidRPr="008E6BBD">
        <w:rPr>
          <w:rFonts w:cs="Arial"/>
        </w:rPr>
        <w:t>(Federal Register of Legislative Instruments (</w:t>
      </w:r>
      <w:r w:rsidRPr="008E6BBD">
        <w:rPr>
          <w:rFonts w:cs="Arial"/>
          <w:i/>
        </w:rPr>
        <w:t>FRLI</w:t>
      </w:r>
      <w:r w:rsidRPr="008E6BBD">
        <w:rPr>
          <w:rFonts w:cs="Arial"/>
        </w:rPr>
        <w:t>) No. F2012L01347).</w:t>
      </w:r>
    </w:p>
    <w:p w:rsidR="008E6BBD" w:rsidRPr="008E6BBD" w:rsidRDefault="008E6BBD" w:rsidP="008E6BBD">
      <w:pPr>
        <w:tabs>
          <w:tab w:val="clear" w:pos="851"/>
        </w:tabs>
        <w:rPr>
          <w:rFonts w:cs="Arial"/>
          <w:szCs w:val="24"/>
          <w:lang w:bidi="en-US"/>
        </w:rPr>
      </w:pPr>
    </w:p>
    <w:p w:rsidR="008E6BBD" w:rsidRPr="008E6BBD" w:rsidRDefault="008E6BBD" w:rsidP="008E6BBD">
      <w:pPr>
        <w:jc w:val="center"/>
        <w:rPr>
          <w:rFonts w:cs="Arial"/>
          <w:b/>
          <w:caps/>
          <w:lang w:bidi="en-US"/>
        </w:rPr>
      </w:pPr>
      <w:r w:rsidRPr="008E6BBD">
        <w:rPr>
          <w:rFonts w:cs="Arial"/>
          <w:b/>
          <w:caps/>
          <w:lang w:bidi="en-US"/>
        </w:rPr>
        <w:t xml:space="preserve">SCHEDULE </w:t>
      </w:r>
    </w:p>
    <w:p w:rsidR="008E6BBD" w:rsidRPr="008E6BBD" w:rsidRDefault="008E6BBD" w:rsidP="008E6BBD">
      <w:pPr>
        <w:tabs>
          <w:tab w:val="clear" w:pos="851"/>
        </w:tabs>
        <w:rPr>
          <w:sz w:val="22"/>
          <w:szCs w:val="24"/>
          <w:lang w:bidi="en-US"/>
        </w:rPr>
      </w:pPr>
    </w:p>
    <w:p w:rsidR="008E6BBD" w:rsidRPr="008E6BBD" w:rsidRDefault="008E6BBD" w:rsidP="008E6BBD">
      <w:pPr>
        <w:rPr>
          <w:rFonts w:cs="Arial"/>
        </w:rPr>
      </w:pPr>
      <w:r w:rsidRPr="008E6BBD">
        <w:rPr>
          <w:rFonts w:cs="Arial"/>
          <w:bCs/>
        </w:rPr>
        <w:t>[1]</w:t>
      </w:r>
      <w:r w:rsidRPr="008E6BBD">
        <w:rPr>
          <w:rFonts w:cs="Arial"/>
        </w:rPr>
        <w:tab/>
        <w:t xml:space="preserve">The notice given under section 92 of the </w:t>
      </w:r>
      <w:r w:rsidRPr="008E6BBD">
        <w:rPr>
          <w:i/>
        </w:rPr>
        <w:t xml:space="preserve">Food Standards Australia New Zealand Act 1991 </w:t>
      </w:r>
      <w:r w:rsidRPr="008E6BBD">
        <w:t xml:space="preserve">for </w:t>
      </w:r>
      <w:r w:rsidRPr="008E6BBD">
        <w:rPr>
          <w:rFonts w:cs="Arial"/>
          <w:b/>
          <w:i/>
        </w:rPr>
        <w:t>Standard 2.9.5 – Food for Special Medical Purposes</w:t>
      </w:r>
      <w:r w:rsidRPr="008E6BBD">
        <w:rPr>
          <w:rFonts w:cs="Arial"/>
        </w:rPr>
        <w:t xml:space="preserve"> (Federal Register of Legislative Instruments (</w:t>
      </w:r>
      <w:r w:rsidRPr="008E6BBD">
        <w:rPr>
          <w:rFonts w:cs="Arial"/>
          <w:i/>
        </w:rPr>
        <w:t>FRLI</w:t>
      </w:r>
      <w:r w:rsidRPr="008E6BBD">
        <w:rPr>
          <w:rFonts w:cs="Arial"/>
        </w:rPr>
        <w:t xml:space="preserve">) No. F2012L01347) is varied by omitting the sentence “The Standard commences on 28 June 2014.” and substituting “The Standard commences on the date of gazettal of </w:t>
      </w:r>
      <w:r w:rsidRPr="008E6BBD">
        <w:rPr>
          <w:rFonts w:cs="Arial"/>
          <w:i/>
        </w:rPr>
        <w:t>Food Standards (Proposal 1023 – Tutin, Tocopherols &amp; Food for Special Medical Purposes Standards Amendments) Variation</w:t>
      </w:r>
      <w:r w:rsidRPr="008E6BBD">
        <w:rPr>
          <w:rFonts w:cs="Arial"/>
        </w:rPr>
        <w:t>.”</w:t>
      </w:r>
    </w:p>
    <w:p w:rsidR="008E6BBD" w:rsidRPr="008E6BBD" w:rsidRDefault="008E6BBD" w:rsidP="008E6BBD">
      <w:pPr>
        <w:rPr>
          <w:rFonts w:cs="Arial"/>
        </w:rPr>
      </w:pPr>
    </w:p>
    <w:p w:rsidR="008E6BBD" w:rsidRPr="008E6BBD" w:rsidRDefault="008E6BBD" w:rsidP="008E6BBD">
      <w:pPr>
        <w:tabs>
          <w:tab w:val="clear" w:pos="851"/>
        </w:tabs>
        <w:rPr>
          <w:lang w:bidi="en-US"/>
        </w:rPr>
      </w:pPr>
    </w:p>
    <w:p w:rsidR="008E6BBD" w:rsidRPr="008E6BBD" w:rsidRDefault="008E6BBD" w:rsidP="008E6BBD">
      <w:pPr>
        <w:widowControl/>
        <w:tabs>
          <w:tab w:val="clear" w:pos="851"/>
        </w:tabs>
        <w:rPr>
          <w:lang w:bidi="en-US"/>
        </w:rPr>
      </w:pPr>
    </w:p>
    <w:p w:rsidR="008E6BBD" w:rsidRPr="008E6BBD" w:rsidRDefault="008E6BBD" w:rsidP="008E6BBD">
      <w:pPr>
        <w:tabs>
          <w:tab w:val="clear" w:pos="851"/>
        </w:tabs>
        <w:rPr>
          <w:sz w:val="22"/>
          <w:szCs w:val="24"/>
          <w:lang w:bidi="en-US"/>
        </w:rPr>
      </w:pPr>
    </w:p>
    <w:p w:rsidR="008E6BBD" w:rsidRPr="008E6BBD" w:rsidRDefault="008E6BBD" w:rsidP="008E6BBD">
      <w:pPr>
        <w:tabs>
          <w:tab w:val="clear" w:pos="851"/>
        </w:tabs>
        <w:rPr>
          <w:noProof/>
          <w:szCs w:val="24"/>
          <w:lang w:val="en-AU" w:eastAsia="en-AU" w:bidi="en-US"/>
        </w:rPr>
      </w:pPr>
      <w:r w:rsidRPr="008E6BBD">
        <w:rPr>
          <w:noProof/>
          <w:szCs w:val="24"/>
          <w:lang w:val="en-AU" w:eastAsia="en-AU" w:bidi="en-US"/>
        </w:rPr>
        <w:br w:type="page"/>
      </w:r>
    </w:p>
    <w:p w:rsidR="008E6BBD" w:rsidRPr="008E6BBD" w:rsidRDefault="008E6BBD" w:rsidP="008E6BBD">
      <w:pPr>
        <w:tabs>
          <w:tab w:val="clear" w:pos="851"/>
        </w:tabs>
        <w:rPr>
          <w:noProof/>
          <w:szCs w:val="24"/>
          <w:lang w:val="en-AU" w:eastAsia="en-AU" w:bidi="en-US"/>
        </w:rPr>
      </w:pPr>
      <w:r w:rsidRPr="008E6BBD">
        <w:rPr>
          <w:noProof/>
          <w:szCs w:val="24"/>
          <w:lang w:eastAsia="en-GB"/>
        </w:rPr>
        <w:lastRenderedPageBreak/>
        <w:drawing>
          <wp:inline distT="0" distB="0" distL="0" distR="0" wp14:anchorId="40F39073" wp14:editId="5AF9585A">
            <wp:extent cx="2657475" cy="438150"/>
            <wp:effectExtent l="0" t="0" r="9525" b="0"/>
            <wp:docPr id="1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tabs>
          <w:tab w:val="clear" w:pos="851"/>
        </w:tabs>
        <w:rPr>
          <w:szCs w:val="24"/>
          <w:lang w:bidi="en-US"/>
        </w:rPr>
      </w:pPr>
    </w:p>
    <w:p w:rsidR="008E6BBD" w:rsidRPr="008E6BBD" w:rsidRDefault="008E6BBD" w:rsidP="008E6BBD">
      <w:pPr>
        <w:pBdr>
          <w:bottom w:val="single" w:sz="4" w:space="1" w:color="auto"/>
        </w:pBdr>
        <w:tabs>
          <w:tab w:val="clear" w:pos="851"/>
        </w:tabs>
        <w:rPr>
          <w:b/>
          <w:szCs w:val="24"/>
          <w:lang w:bidi="en-US"/>
        </w:rPr>
      </w:pPr>
      <w:r w:rsidRPr="008E6BBD">
        <w:rPr>
          <w:b/>
          <w:szCs w:val="24"/>
          <w:lang w:bidi="en-US"/>
        </w:rPr>
        <w:t>Food Standards (Application A1043 – World Health Organization Limits for Packaged Water) Variation</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 xml:space="preserve">The Board of Food Standards Australia New Zealand gives notice of the making of this variation under section 92 of the </w:t>
      </w:r>
      <w:r w:rsidRPr="008E6BBD">
        <w:rPr>
          <w:i/>
          <w:szCs w:val="24"/>
          <w:lang w:bidi="en-US"/>
        </w:rPr>
        <w:t>Food Standards Australia New Zealand Act 1991</w:t>
      </w:r>
      <w:r w:rsidRPr="008E6BBD">
        <w:rPr>
          <w:szCs w:val="24"/>
          <w:lang w:bidi="en-US"/>
        </w:rPr>
        <w:t>. The variation commences on the date specified in clause 3.</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Dated 15 February 2013</w:t>
      </w:r>
    </w:p>
    <w:p w:rsidR="008E6BBD" w:rsidRPr="008E6BBD" w:rsidRDefault="008E6BBD" w:rsidP="008E6BBD">
      <w:pPr>
        <w:tabs>
          <w:tab w:val="clear" w:pos="851"/>
        </w:tabs>
        <w:rPr>
          <w:szCs w:val="24"/>
          <w:lang w:bidi="en-US"/>
        </w:rPr>
      </w:pPr>
      <w:r w:rsidRPr="008E6BBD">
        <w:rPr>
          <w:rFonts w:eastAsiaTheme="minorHAnsi" w:cstheme="minorBidi"/>
          <w:noProof/>
          <w:sz w:val="22"/>
          <w:szCs w:val="24"/>
          <w:lang w:eastAsia="en-GB"/>
        </w:rPr>
        <w:drawing>
          <wp:inline distT="0" distB="0" distL="0" distR="0" wp14:anchorId="2ABF66F6" wp14:editId="0BDDC549">
            <wp:extent cx="1343025" cy="787400"/>
            <wp:effectExtent l="0" t="0" r="9525" b="0"/>
            <wp:docPr id="15" name="Picture 15"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pPr>
        <w:tabs>
          <w:tab w:val="clear" w:pos="851"/>
        </w:tabs>
        <w:rPr>
          <w:szCs w:val="24"/>
          <w:lang w:bidi="en-US"/>
        </w:rPr>
      </w:pPr>
      <w:r w:rsidRPr="008E6BBD">
        <w:rPr>
          <w:szCs w:val="24"/>
          <w:lang w:bidi="en-US"/>
        </w:rPr>
        <w:t>Standards Management Officer</w:t>
      </w:r>
    </w:p>
    <w:p w:rsidR="008E6BBD" w:rsidRPr="008E6BBD" w:rsidRDefault="008E6BBD" w:rsidP="008E6BBD">
      <w:pPr>
        <w:tabs>
          <w:tab w:val="clear" w:pos="851"/>
        </w:tabs>
        <w:rPr>
          <w:szCs w:val="24"/>
          <w:lang w:bidi="en-US"/>
        </w:rPr>
      </w:pPr>
      <w:r w:rsidRPr="008E6BBD">
        <w:rPr>
          <w:szCs w:val="24"/>
          <w:lang w:bidi="en-US"/>
        </w:rPr>
        <w:t>Delegate of the Board of Food Standards Australia New Zealand</w:t>
      </w:r>
    </w:p>
    <w:p w:rsidR="008E6BBD" w:rsidRPr="008E6BBD" w:rsidRDefault="008E6BBD" w:rsidP="008E6BBD">
      <w:pPr>
        <w:tabs>
          <w:tab w:val="clear" w:pos="851"/>
        </w:tabs>
        <w:rPr>
          <w:szCs w:val="24"/>
          <w:lang w:bidi="en-US"/>
        </w:rPr>
      </w:pPr>
    </w:p>
    <w:p w:rsidR="008E6BBD" w:rsidRPr="008E6BBD" w:rsidRDefault="008E6BBD" w:rsidP="008E6BBD">
      <w:pPr>
        <w:widowControl/>
        <w:tabs>
          <w:tab w:val="clear" w:pos="851"/>
        </w:tabs>
        <w:rPr>
          <w:b/>
          <w:sz w:val="28"/>
          <w:szCs w:val="28"/>
          <w:lang w:bidi="en-US"/>
        </w:rPr>
      </w:pPr>
      <w:r w:rsidRPr="008E6BBD">
        <w:rPr>
          <w:b/>
          <w:color w:val="FF0000"/>
          <w:sz w:val="28"/>
          <w:szCs w:val="28"/>
          <w:lang w:bidi="en-US"/>
        </w:rPr>
        <w:br w:type="page"/>
      </w:r>
    </w:p>
    <w:p w:rsidR="008E6BBD" w:rsidRPr="008E6BBD" w:rsidRDefault="008E6BBD" w:rsidP="008E6BBD">
      <w:pPr>
        <w:keepNext/>
        <w:rPr>
          <w:b/>
        </w:rPr>
      </w:pPr>
      <w:r w:rsidRPr="008E6BBD">
        <w:rPr>
          <w:b/>
        </w:rPr>
        <w:lastRenderedPageBreak/>
        <w:t>1</w:t>
      </w:r>
      <w:r w:rsidRPr="008E6BBD">
        <w:rPr>
          <w:b/>
        </w:rPr>
        <w:tab/>
        <w:t>Name</w:t>
      </w:r>
    </w:p>
    <w:p w:rsidR="008E6BBD" w:rsidRPr="008E6BBD" w:rsidRDefault="008E6BBD" w:rsidP="008E6BBD"/>
    <w:p w:rsidR="008E6BBD" w:rsidRPr="008E6BBD" w:rsidRDefault="008E6BBD" w:rsidP="008E6BBD">
      <w:pPr>
        <w:rPr>
          <w:i/>
        </w:rPr>
      </w:pPr>
      <w:r w:rsidRPr="008E6BBD">
        <w:t xml:space="preserve">This instrument is the </w:t>
      </w:r>
      <w:r w:rsidRPr="008E6BBD">
        <w:rPr>
          <w:i/>
        </w:rPr>
        <w:t>Food Standards (Application A1043 – World Health Organization Limits for Packaged Water) Variation.</w:t>
      </w:r>
    </w:p>
    <w:p w:rsidR="008E6BBD" w:rsidRPr="008E6BBD" w:rsidRDefault="008E6BBD" w:rsidP="008E6BBD"/>
    <w:p w:rsidR="008E6BBD" w:rsidRPr="008E6BBD" w:rsidRDefault="008E6BBD" w:rsidP="008E6BBD">
      <w:pPr>
        <w:keepNext/>
        <w:rPr>
          <w:b/>
        </w:rPr>
      </w:pPr>
      <w:r w:rsidRPr="008E6BBD">
        <w:rPr>
          <w:b/>
        </w:rPr>
        <w:t>2</w:t>
      </w:r>
      <w:r w:rsidRPr="008E6BBD">
        <w:rPr>
          <w:b/>
        </w:rPr>
        <w:tab/>
        <w:t xml:space="preserve">Variation to Standards in the </w:t>
      </w:r>
      <w:r w:rsidRPr="008E6BBD">
        <w:rPr>
          <w:b/>
          <w:i/>
        </w:rPr>
        <w:t>Australia New Zealand Food Standards Code</w:t>
      </w:r>
    </w:p>
    <w:p w:rsidR="008E6BBD" w:rsidRPr="008E6BBD" w:rsidRDefault="008E6BBD" w:rsidP="008E6BBD"/>
    <w:p w:rsidR="008E6BBD" w:rsidRPr="008E6BBD" w:rsidRDefault="008E6BBD" w:rsidP="008E6BBD">
      <w:r w:rsidRPr="008E6BBD">
        <w:t xml:space="preserve">The Schedule varies the Standards in the </w:t>
      </w:r>
      <w:r w:rsidRPr="008E6BBD">
        <w:rPr>
          <w:i/>
        </w:rPr>
        <w:t>Australia New Zealand Food Standards Code</w:t>
      </w:r>
      <w:r w:rsidRPr="008E6BBD">
        <w:t>.</w:t>
      </w:r>
    </w:p>
    <w:p w:rsidR="008E6BBD" w:rsidRPr="008E6BBD" w:rsidRDefault="008E6BBD" w:rsidP="008E6BBD">
      <w:pPr>
        <w:tabs>
          <w:tab w:val="clear" w:pos="851"/>
        </w:tabs>
        <w:rPr>
          <w:szCs w:val="24"/>
          <w:lang w:bidi="en-US"/>
        </w:rPr>
      </w:pPr>
    </w:p>
    <w:p w:rsidR="008E6BBD" w:rsidRPr="008E6BBD" w:rsidRDefault="008E6BBD" w:rsidP="008E6BBD">
      <w:pPr>
        <w:keepNext/>
        <w:rPr>
          <w:b/>
        </w:rPr>
      </w:pPr>
      <w:r w:rsidRPr="008E6BBD">
        <w:rPr>
          <w:b/>
        </w:rPr>
        <w:t>3</w:t>
      </w:r>
      <w:r w:rsidRPr="008E6BBD">
        <w:rPr>
          <w:b/>
        </w:rPr>
        <w:tab/>
        <w:t>Commencement</w:t>
      </w:r>
    </w:p>
    <w:p w:rsidR="008E6BBD" w:rsidRPr="008E6BBD" w:rsidRDefault="008E6BBD" w:rsidP="008E6BBD"/>
    <w:p w:rsidR="008E6BBD" w:rsidRPr="008E6BBD" w:rsidRDefault="008E6BBD" w:rsidP="008E6BBD">
      <w:pPr>
        <w:tabs>
          <w:tab w:val="clear" w:pos="851"/>
        </w:tabs>
      </w:pPr>
      <w:r w:rsidRPr="008E6BBD">
        <w:t>These variations commence on</w:t>
      </w:r>
      <w:r w:rsidRPr="008E6BBD">
        <w:rPr>
          <w:b/>
        </w:rPr>
        <w:t xml:space="preserve"> </w:t>
      </w:r>
      <w:r w:rsidRPr="008E6BBD">
        <w:rPr>
          <w:szCs w:val="24"/>
          <w:lang w:bidi="en-US"/>
        </w:rPr>
        <w:t>21 February 2013</w:t>
      </w:r>
      <w:r w:rsidRPr="008E6BBD">
        <w:t>, other than variation [3.2] which commences on 21 February 2015.</w:t>
      </w:r>
    </w:p>
    <w:p w:rsidR="008E6BBD" w:rsidRPr="008E6BBD" w:rsidRDefault="008E6BBD" w:rsidP="008E6BBD">
      <w:pPr>
        <w:tabs>
          <w:tab w:val="clear" w:pos="851"/>
        </w:tabs>
        <w:rPr>
          <w:lang w:bidi="en-US"/>
        </w:rPr>
      </w:pPr>
    </w:p>
    <w:p w:rsidR="008E6BBD" w:rsidRPr="008E6BBD" w:rsidRDefault="008E6BBD" w:rsidP="008E6BBD">
      <w:pPr>
        <w:jc w:val="center"/>
        <w:rPr>
          <w:b/>
          <w:caps/>
          <w:lang w:bidi="en-US"/>
        </w:rPr>
      </w:pPr>
      <w:r w:rsidRPr="008E6BBD">
        <w:rPr>
          <w:b/>
          <w:caps/>
          <w:lang w:bidi="en-US"/>
        </w:rPr>
        <w:t>SCHEDULE</w:t>
      </w:r>
    </w:p>
    <w:p w:rsidR="008E6BBD" w:rsidRPr="008E6BBD" w:rsidRDefault="008E6BBD" w:rsidP="008E6BBD">
      <w:pPr>
        <w:tabs>
          <w:tab w:val="clear" w:pos="851"/>
        </w:tabs>
        <w:rPr>
          <w:lang w:bidi="en-US"/>
        </w:rPr>
      </w:pPr>
    </w:p>
    <w:p w:rsidR="008E6BBD" w:rsidRPr="008E6BBD" w:rsidRDefault="008E6BBD" w:rsidP="008E6BBD">
      <w:r w:rsidRPr="008E6BBD">
        <w:t>[1]</w:t>
      </w:r>
      <w:r w:rsidRPr="008E6BBD">
        <w:tab/>
        <w:t>Standard 1.3.3 is varied by omitting from the Table to clause 11 “0.03 (as styrene)” and substituting “0.02 (as styrene)”</w:t>
      </w:r>
    </w:p>
    <w:p w:rsidR="008E6BBD" w:rsidRPr="008E6BBD" w:rsidRDefault="008E6BBD" w:rsidP="008E6BBD"/>
    <w:p w:rsidR="008E6BBD" w:rsidRPr="008E6BBD" w:rsidRDefault="008E6BBD" w:rsidP="008E6BBD">
      <w:r w:rsidRPr="008E6BBD">
        <w:t>[2]</w:t>
      </w:r>
      <w:r w:rsidRPr="008E6BBD">
        <w:tab/>
        <w:t xml:space="preserve">Standard 1.4.1 is varied by omitting from the Table to clause 3 </w:t>
      </w:r>
    </w:p>
    <w:p w:rsidR="008E6BBD" w:rsidRPr="008E6BBD" w:rsidRDefault="008E6BBD" w:rsidP="008E6BBD">
      <w:r w:rsidRPr="008E6BBD">
        <w:t>“</w:t>
      </w:r>
    </w:p>
    <w:tbl>
      <w:tblPr>
        <w:tblW w:w="9071" w:type="dxa"/>
        <w:jc w:val="center"/>
        <w:tblLayout w:type="fixed"/>
        <w:tblCellMar>
          <w:left w:w="79" w:type="dxa"/>
          <w:right w:w="79" w:type="dxa"/>
        </w:tblCellMar>
        <w:tblLook w:val="0000" w:firstRow="0" w:lastRow="0" w:firstColumn="0" w:lastColumn="0" w:noHBand="0" w:noVBand="0"/>
      </w:tblPr>
      <w:tblGrid>
        <w:gridCol w:w="3118"/>
        <w:gridCol w:w="3118"/>
        <w:gridCol w:w="2835"/>
      </w:tblGrid>
      <w:tr w:rsidR="008E6BBD" w:rsidRPr="008E6BBD" w:rsidTr="00721B4B">
        <w:trPr>
          <w:cantSplit/>
          <w:jc w:val="center"/>
        </w:trPr>
        <w:tc>
          <w:tcPr>
            <w:tcW w:w="3118" w:type="dxa"/>
          </w:tcPr>
          <w:p w:rsidR="008E6BBD" w:rsidRPr="008E6BBD" w:rsidRDefault="008E6BBD" w:rsidP="008E6BBD">
            <w:pPr>
              <w:tabs>
                <w:tab w:val="clear" w:pos="851"/>
              </w:tabs>
              <w:ind w:left="142" w:hanging="142"/>
              <w:rPr>
                <w:bCs/>
                <w:sz w:val="18"/>
                <w:lang w:bidi="en-US"/>
              </w:rPr>
            </w:pPr>
            <w:r w:rsidRPr="008E6BBD">
              <w:rPr>
                <w:bCs/>
                <w:sz w:val="18"/>
                <w:lang w:bidi="en-US"/>
              </w:rPr>
              <w:t>Vinyl chloride</w:t>
            </w:r>
          </w:p>
        </w:tc>
        <w:tc>
          <w:tcPr>
            <w:tcW w:w="3118" w:type="dxa"/>
          </w:tcPr>
          <w:p w:rsidR="008E6BBD" w:rsidRPr="008E6BBD" w:rsidRDefault="008E6BBD" w:rsidP="008E6BBD">
            <w:pPr>
              <w:tabs>
                <w:tab w:val="clear" w:pos="851"/>
              </w:tabs>
              <w:ind w:left="142" w:hanging="142"/>
              <w:rPr>
                <w:bCs/>
                <w:sz w:val="18"/>
                <w:lang w:bidi="en-US"/>
              </w:rPr>
            </w:pPr>
            <w:r w:rsidRPr="008E6BBD">
              <w:rPr>
                <w:bCs/>
                <w:sz w:val="18"/>
                <w:lang w:bidi="en-US"/>
              </w:rPr>
              <w:t>All food</w:t>
            </w:r>
          </w:p>
        </w:tc>
        <w:tc>
          <w:tcPr>
            <w:tcW w:w="2835" w:type="dxa"/>
          </w:tcPr>
          <w:p w:rsidR="008E6BBD" w:rsidRPr="008E6BBD" w:rsidRDefault="008E6BBD" w:rsidP="008E6BBD">
            <w:pPr>
              <w:tabs>
                <w:tab w:val="clear" w:pos="851"/>
              </w:tabs>
              <w:ind w:left="142" w:hanging="142"/>
              <w:jc w:val="center"/>
              <w:rPr>
                <w:bCs/>
                <w:sz w:val="18"/>
                <w:lang w:bidi="en-US"/>
              </w:rPr>
            </w:pPr>
            <w:r w:rsidRPr="008E6BBD">
              <w:rPr>
                <w:bCs/>
                <w:sz w:val="18"/>
                <w:lang w:bidi="en-US"/>
              </w:rPr>
              <w:t>0.01</w:t>
            </w:r>
          </w:p>
        </w:tc>
      </w:tr>
    </w:tbl>
    <w:p w:rsidR="008E6BBD" w:rsidRPr="008E6BBD" w:rsidRDefault="008E6BBD" w:rsidP="008E6BBD">
      <w:pPr>
        <w:jc w:val="right"/>
      </w:pPr>
      <w:r w:rsidRPr="008E6BBD">
        <w:t>”</w:t>
      </w:r>
    </w:p>
    <w:p w:rsidR="008E6BBD" w:rsidRPr="008E6BBD" w:rsidRDefault="008E6BBD" w:rsidP="008E6BBD">
      <w:r w:rsidRPr="008E6BBD">
        <w:t>and substituting</w:t>
      </w:r>
    </w:p>
    <w:p w:rsidR="008E6BBD" w:rsidRPr="008E6BBD" w:rsidRDefault="008E6BBD" w:rsidP="008E6BBD"/>
    <w:p w:rsidR="008E6BBD" w:rsidRPr="008E6BBD" w:rsidRDefault="008E6BBD" w:rsidP="008E6BBD">
      <w:r w:rsidRPr="008E6BBD">
        <w:t>“</w:t>
      </w:r>
    </w:p>
    <w:tbl>
      <w:tblPr>
        <w:tblW w:w="9071" w:type="dxa"/>
        <w:jc w:val="center"/>
        <w:tblLayout w:type="fixed"/>
        <w:tblCellMar>
          <w:left w:w="79" w:type="dxa"/>
          <w:right w:w="79" w:type="dxa"/>
        </w:tblCellMar>
        <w:tblLook w:val="0000" w:firstRow="0" w:lastRow="0" w:firstColumn="0" w:lastColumn="0" w:noHBand="0" w:noVBand="0"/>
      </w:tblPr>
      <w:tblGrid>
        <w:gridCol w:w="3118"/>
        <w:gridCol w:w="3118"/>
        <w:gridCol w:w="2835"/>
      </w:tblGrid>
      <w:tr w:rsidR="008E6BBD" w:rsidRPr="008E6BBD" w:rsidTr="00721B4B">
        <w:trPr>
          <w:cantSplit/>
          <w:jc w:val="center"/>
        </w:trPr>
        <w:tc>
          <w:tcPr>
            <w:tcW w:w="3118" w:type="dxa"/>
          </w:tcPr>
          <w:p w:rsidR="008E6BBD" w:rsidRPr="008E6BBD" w:rsidRDefault="008E6BBD" w:rsidP="008E6BBD">
            <w:pPr>
              <w:tabs>
                <w:tab w:val="clear" w:pos="851"/>
              </w:tabs>
              <w:ind w:left="142" w:hanging="142"/>
              <w:rPr>
                <w:bCs/>
                <w:sz w:val="18"/>
                <w:lang w:bidi="en-US"/>
              </w:rPr>
            </w:pPr>
            <w:r w:rsidRPr="008E6BBD">
              <w:rPr>
                <w:bCs/>
                <w:sz w:val="18"/>
                <w:lang w:bidi="en-US"/>
              </w:rPr>
              <w:t>Vinyl chloride</w:t>
            </w:r>
          </w:p>
        </w:tc>
        <w:tc>
          <w:tcPr>
            <w:tcW w:w="3118" w:type="dxa"/>
          </w:tcPr>
          <w:p w:rsidR="008E6BBD" w:rsidRPr="008E6BBD" w:rsidRDefault="008E6BBD" w:rsidP="008E6BBD">
            <w:pPr>
              <w:tabs>
                <w:tab w:val="clear" w:pos="851"/>
              </w:tabs>
              <w:ind w:left="142" w:hanging="142"/>
              <w:rPr>
                <w:bCs/>
                <w:sz w:val="18"/>
                <w:lang w:bidi="en-US"/>
              </w:rPr>
            </w:pPr>
            <w:r w:rsidRPr="008E6BBD">
              <w:rPr>
                <w:bCs/>
                <w:sz w:val="18"/>
                <w:lang w:bidi="en-US"/>
              </w:rPr>
              <w:t>All food except packaged water</w:t>
            </w:r>
          </w:p>
        </w:tc>
        <w:tc>
          <w:tcPr>
            <w:tcW w:w="2835" w:type="dxa"/>
          </w:tcPr>
          <w:p w:rsidR="008E6BBD" w:rsidRPr="008E6BBD" w:rsidRDefault="008E6BBD" w:rsidP="008E6BBD">
            <w:pPr>
              <w:tabs>
                <w:tab w:val="clear" w:pos="851"/>
              </w:tabs>
              <w:ind w:left="142" w:hanging="142"/>
              <w:jc w:val="center"/>
              <w:rPr>
                <w:bCs/>
                <w:sz w:val="18"/>
                <w:lang w:bidi="en-US"/>
              </w:rPr>
            </w:pPr>
            <w:r w:rsidRPr="008E6BBD">
              <w:rPr>
                <w:bCs/>
                <w:sz w:val="18"/>
                <w:lang w:bidi="en-US"/>
              </w:rPr>
              <w:t>0.01</w:t>
            </w:r>
          </w:p>
        </w:tc>
      </w:tr>
    </w:tbl>
    <w:p w:rsidR="008E6BBD" w:rsidRPr="008E6BBD" w:rsidRDefault="008E6BBD" w:rsidP="008E6BBD">
      <w:pPr>
        <w:jc w:val="right"/>
      </w:pPr>
      <w:r w:rsidRPr="008E6BBD">
        <w:t>”</w:t>
      </w:r>
    </w:p>
    <w:p w:rsidR="008E6BBD" w:rsidRPr="008E6BBD" w:rsidRDefault="008E6BBD" w:rsidP="008E6BBD">
      <w:r w:rsidRPr="008E6BBD">
        <w:rPr>
          <w:bCs/>
        </w:rPr>
        <w:t>[3]</w:t>
      </w:r>
      <w:r w:rsidRPr="008E6BBD">
        <w:rPr>
          <w:bCs/>
        </w:rPr>
        <w:tab/>
        <w:t>Standard 2.6.2</w:t>
      </w:r>
      <w:r w:rsidRPr="008E6BBD">
        <w:t xml:space="preserve"> is varied by</w:t>
      </w:r>
    </w:p>
    <w:p w:rsidR="008E6BBD" w:rsidRPr="008E6BBD" w:rsidRDefault="008E6BBD" w:rsidP="008E6BBD"/>
    <w:p w:rsidR="008E6BBD" w:rsidRPr="008E6BBD" w:rsidRDefault="008E6BBD" w:rsidP="008E6BBD">
      <w:r w:rsidRPr="008E6BBD">
        <w:t>[3.1]</w:t>
      </w:r>
      <w:r w:rsidRPr="008E6BBD">
        <w:tab/>
        <w:t xml:space="preserve">inserting after clause 2 the following – </w:t>
      </w:r>
    </w:p>
    <w:p w:rsidR="008E6BBD" w:rsidRPr="008E6BBD" w:rsidRDefault="008E6BBD" w:rsidP="008E6BBD">
      <w:pPr>
        <w:tabs>
          <w:tab w:val="clear" w:pos="851"/>
        </w:tabs>
        <w:rPr>
          <w:lang w:bidi="en-US"/>
        </w:rPr>
      </w:pPr>
    </w:p>
    <w:p w:rsidR="008E6BBD" w:rsidRPr="008E6BBD" w:rsidRDefault="008E6BBD" w:rsidP="008E6BBD">
      <w:pPr>
        <w:keepNext/>
        <w:rPr>
          <w:b/>
        </w:rPr>
      </w:pPr>
      <w:r w:rsidRPr="008E6BBD">
        <w:t>“</w:t>
      </w:r>
      <w:r w:rsidRPr="008E6BBD">
        <w:rPr>
          <w:b/>
        </w:rPr>
        <w:t>2AA</w:t>
      </w:r>
      <w:r w:rsidRPr="008E6BBD">
        <w:rPr>
          <w:b/>
        </w:rPr>
        <w:tab/>
        <w:t xml:space="preserve">Limits for chemicals in packaged water </w:t>
      </w:r>
    </w:p>
    <w:p w:rsidR="008E6BBD" w:rsidRPr="008E6BBD" w:rsidRDefault="008E6BBD" w:rsidP="008E6BBD">
      <w:pPr>
        <w:tabs>
          <w:tab w:val="clear" w:pos="851"/>
        </w:tabs>
        <w:rPr>
          <w:lang w:bidi="en-US"/>
        </w:rPr>
      </w:pPr>
    </w:p>
    <w:p w:rsidR="008E6BBD" w:rsidRPr="008E6BBD" w:rsidRDefault="008E6BBD" w:rsidP="008E6BBD">
      <w:r w:rsidRPr="008E6BBD">
        <w:t>(1)</w:t>
      </w:r>
      <w:r w:rsidRPr="008E6BBD">
        <w:tab/>
        <w:t>Water presented in packaged form may or may not contain added carbon dioxide.</w:t>
      </w:r>
    </w:p>
    <w:p w:rsidR="008E6BBD" w:rsidRPr="008E6BBD" w:rsidRDefault="008E6BBD" w:rsidP="008E6BBD"/>
    <w:p w:rsidR="008E6BBD" w:rsidRPr="008E6BBD" w:rsidRDefault="008E6BBD" w:rsidP="008E6BBD">
      <w:pPr>
        <w:rPr>
          <w:iCs/>
        </w:rPr>
      </w:pPr>
      <w:r w:rsidRPr="008E6BBD">
        <w:t>(2)</w:t>
      </w:r>
      <w:r w:rsidRPr="008E6BBD">
        <w:tab/>
        <w:t xml:space="preserve">Water presented in packaged form must not contain a chemical listed in </w:t>
      </w:r>
      <w:r w:rsidRPr="008E6BBD">
        <w:rPr>
          <w:i/>
          <w:iCs/>
        </w:rPr>
        <w:t xml:space="preserve">Table A3.3 Guideline values for chemicals that are of health significance in drinking-water </w:t>
      </w:r>
      <w:r w:rsidRPr="008E6BBD">
        <w:rPr>
          <w:iCs/>
        </w:rPr>
        <w:t xml:space="preserve">of </w:t>
      </w:r>
      <w:r w:rsidRPr="008E6BBD">
        <w:rPr>
          <w:i/>
          <w:iCs/>
        </w:rPr>
        <w:t xml:space="preserve">Annex 3 Chemical summary tables </w:t>
      </w:r>
      <w:r w:rsidRPr="008E6BBD">
        <w:t xml:space="preserve">in the </w:t>
      </w:r>
      <w:r w:rsidRPr="008E6BBD">
        <w:rPr>
          <w:i/>
          <w:iCs/>
        </w:rPr>
        <w:t>Guidelines for drinking-water quality, 4</w:t>
      </w:r>
      <w:r w:rsidRPr="008E6BBD">
        <w:rPr>
          <w:i/>
          <w:iCs/>
          <w:vertAlign w:val="superscript"/>
        </w:rPr>
        <w:t>th</w:t>
      </w:r>
      <w:r w:rsidRPr="008E6BBD">
        <w:rPr>
          <w:i/>
          <w:iCs/>
        </w:rPr>
        <w:t xml:space="preserve"> edition, 2011, World Health Organization, Geneva,</w:t>
      </w:r>
      <w:r w:rsidRPr="008E6BBD">
        <w:rPr>
          <w:iCs/>
        </w:rPr>
        <w:t xml:space="preserve"> at a level greater than the guideline value for the chemical specified in that Table.</w:t>
      </w:r>
    </w:p>
    <w:p w:rsidR="008E6BBD" w:rsidRPr="008E6BBD" w:rsidRDefault="008E6BBD" w:rsidP="008E6BBD">
      <w:pPr>
        <w:rPr>
          <w:iCs/>
        </w:rPr>
      </w:pPr>
    </w:p>
    <w:p w:rsidR="008E6BBD" w:rsidRPr="008E6BBD" w:rsidRDefault="008E6BBD" w:rsidP="008E6BBD">
      <w:pPr>
        <w:rPr>
          <w:i/>
          <w:iCs/>
        </w:rPr>
      </w:pPr>
      <w:r w:rsidRPr="008E6BBD">
        <w:t>(3)</w:t>
      </w:r>
      <w:r w:rsidRPr="008E6BBD">
        <w:tab/>
        <w:t>Subclause (2) does not apply to fluoride.</w:t>
      </w:r>
    </w:p>
    <w:p w:rsidR="008E6BBD" w:rsidRPr="008E6BBD" w:rsidRDefault="008E6BBD" w:rsidP="008E6BBD">
      <w:pPr>
        <w:tabs>
          <w:tab w:val="clear" w:pos="851"/>
        </w:tabs>
        <w:rPr>
          <w:szCs w:val="24"/>
          <w:lang w:bidi="en-US"/>
        </w:rPr>
      </w:pPr>
    </w:p>
    <w:p w:rsidR="008E6BBD" w:rsidRPr="008E6BBD" w:rsidRDefault="008E6BBD" w:rsidP="008E6BBD">
      <w:r w:rsidRPr="008E6BBD">
        <w:t>(4)</w:t>
      </w:r>
      <w:r w:rsidRPr="008E6BBD">
        <w:tab/>
        <w:t>Water presented in packaged form must not contain fluoride that is naturally-occurring in the water at a level greater than 1.0 mg/L.</w:t>
      </w:r>
    </w:p>
    <w:p w:rsidR="008E6BBD" w:rsidRPr="008E6BBD" w:rsidRDefault="008E6BBD" w:rsidP="008E6BBD">
      <w:pPr>
        <w:tabs>
          <w:tab w:val="clear" w:pos="851"/>
        </w:tabs>
        <w:rPr>
          <w:szCs w:val="24"/>
          <w:lang w:bidi="en-US"/>
        </w:rPr>
      </w:pPr>
    </w:p>
    <w:p w:rsidR="008E6BBD" w:rsidRPr="008E6BBD" w:rsidRDefault="008E6BBD" w:rsidP="008E6BBD">
      <w:pPr>
        <w:keepNext/>
        <w:pBdr>
          <w:top w:val="single" w:sz="6" w:space="0" w:color="auto"/>
          <w:left w:val="single" w:sz="6" w:space="0" w:color="auto"/>
          <w:bottom w:val="single" w:sz="6" w:space="0" w:color="auto"/>
          <w:right w:val="single" w:sz="6" w:space="2" w:color="auto"/>
        </w:pBdr>
        <w:rPr>
          <w:b/>
        </w:rPr>
      </w:pPr>
      <w:r w:rsidRPr="008E6BBD">
        <w:rPr>
          <w:b/>
        </w:rPr>
        <w:t>Editorial note:</w:t>
      </w:r>
    </w:p>
    <w:p w:rsidR="008E6BBD" w:rsidRPr="008E6BBD" w:rsidRDefault="008E6BBD" w:rsidP="008E6BBD">
      <w:pPr>
        <w:keepNext/>
        <w:pBdr>
          <w:top w:val="single" w:sz="6" w:space="0" w:color="auto"/>
          <w:left w:val="single" w:sz="6" w:space="0" w:color="auto"/>
          <w:bottom w:val="single" w:sz="6" w:space="0" w:color="auto"/>
          <w:right w:val="single" w:sz="6" w:space="2" w:color="auto"/>
        </w:pBdr>
      </w:pPr>
    </w:p>
    <w:p w:rsidR="008E6BBD" w:rsidRPr="008E6BBD" w:rsidRDefault="008E6BBD" w:rsidP="008E6BBD">
      <w:pPr>
        <w:keepNext/>
        <w:pBdr>
          <w:top w:val="single" w:sz="6" w:space="0" w:color="auto"/>
          <w:left w:val="single" w:sz="6" w:space="0" w:color="auto"/>
          <w:bottom w:val="single" w:sz="6" w:space="0" w:color="auto"/>
          <w:right w:val="single" w:sz="6" w:space="2" w:color="auto"/>
        </w:pBdr>
      </w:pPr>
      <w:r w:rsidRPr="008E6BBD">
        <w:t>Clause 3 of Standard 1.4.1 sets a maximum level for Acrylonitrile of 0.02 mg/kg in all food.  Clause 4 of Standard 1.4.1 sets a maximum level for Pulegone of 250 mg/kg in beverages.</w:t>
      </w:r>
    </w:p>
    <w:p w:rsidR="008E6BBD" w:rsidRPr="008E6BBD" w:rsidRDefault="008E6BBD" w:rsidP="008E6BBD">
      <w:pPr>
        <w:tabs>
          <w:tab w:val="clear" w:pos="851"/>
        </w:tabs>
        <w:rPr>
          <w:szCs w:val="24"/>
          <w:lang w:bidi="en-US"/>
        </w:rPr>
      </w:pPr>
    </w:p>
    <w:p w:rsidR="008E6BBD" w:rsidRPr="008E6BBD" w:rsidRDefault="008E6BBD" w:rsidP="008E6BBD">
      <w:pPr>
        <w:keepNext/>
        <w:rPr>
          <w:b/>
        </w:rPr>
      </w:pPr>
      <w:r w:rsidRPr="008E6BBD">
        <w:rPr>
          <w:b/>
        </w:rPr>
        <w:t>2AB</w:t>
      </w:r>
      <w:r w:rsidRPr="008E6BBD">
        <w:rPr>
          <w:b/>
        </w:rPr>
        <w:tab/>
        <w:t>Compliance with clause 2 or 2AA</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Water presented in packaged form must comply with clause 2 or 2AA, but not a combination of both.”</w:t>
      </w:r>
    </w:p>
    <w:p w:rsidR="008E6BBD" w:rsidRPr="008E6BBD" w:rsidRDefault="008E6BBD" w:rsidP="008E6BBD">
      <w:pPr>
        <w:tabs>
          <w:tab w:val="clear" w:pos="851"/>
        </w:tabs>
        <w:rPr>
          <w:szCs w:val="24"/>
          <w:lang w:bidi="en-US"/>
        </w:rPr>
      </w:pPr>
    </w:p>
    <w:p w:rsidR="008E6BBD" w:rsidRPr="008E6BBD" w:rsidRDefault="008E6BBD" w:rsidP="008E6BBD">
      <w:r w:rsidRPr="008E6BBD">
        <w:t>[3.2]</w:t>
      </w:r>
      <w:r w:rsidRPr="008E6BBD">
        <w:tab/>
        <w:t>repealing clauses 2 and 2AB</w:t>
      </w:r>
    </w:p>
    <w:p w:rsidR="008E6BBD" w:rsidRPr="008E6BBD" w:rsidRDefault="008E6BBD" w:rsidP="008E6BBD"/>
    <w:p w:rsidR="008E6BBD" w:rsidRPr="008E6BBD" w:rsidRDefault="008E6BBD" w:rsidP="008E6BBD">
      <w:r w:rsidRPr="008E6BBD">
        <w:t>[3.3]</w:t>
      </w:r>
      <w:r w:rsidRPr="008E6BBD">
        <w:tab/>
        <w:t>updating the Table of Provisions to reflect these variations.</w:t>
      </w:r>
    </w:p>
    <w:p w:rsidR="008E6BBD" w:rsidRPr="008E6BBD" w:rsidRDefault="008E6BBD" w:rsidP="008E6BBD">
      <w:pPr>
        <w:rPr>
          <w:b/>
        </w:rPr>
      </w:pPr>
      <w:r w:rsidRPr="008E6BBD">
        <w:rPr>
          <w:b/>
        </w:rPr>
        <w:br w:type="page"/>
      </w:r>
    </w:p>
    <w:p w:rsidR="008E6BBD" w:rsidRPr="008E6BBD" w:rsidRDefault="008E6BBD" w:rsidP="008E6BBD">
      <w:pPr>
        <w:rPr>
          <w:noProof/>
          <w:lang w:val="en-AU" w:eastAsia="en-AU"/>
        </w:rPr>
      </w:pPr>
      <w:r w:rsidRPr="008E6BBD">
        <w:rPr>
          <w:noProof/>
          <w:lang w:eastAsia="en-GB"/>
        </w:rPr>
        <w:lastRenderedPageBreak/>
        <w:drawing>
          <wp:inline distT="0" distB="0" distL="0" distR="0" wp14:anchorId="69A91E15" wp14:editId="17F3F428">
            <wp:extent cx="2657475" cy="438150"/>
            <wp:effectExtent l="0" t="0" r="9525" b="0"/>
            <wp:docPr id="1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pBdr>
          <w:bottom w:val="single" w:sz="4" w:space="1" w:color="auto"/>
        </w:pBdr>
        <w:jc w:val="center"/>
      </w:pPr>
    </w:p>
    <w:p w:rsidR="008E6BBD" w:rsidRPr="008E6BBD" w:rsidRDefault="008E6BBD" w:rsidP="008E6BBD">
      <w:pPr>
        <w:pBdr>
          <w:bottom w:val="single" w:sz="4" w:space="1" w:color="auto"/>
        </w:pBdr>
        <w:rPr>
          <w:b/>
        </w:rPr>
      </w:pPr>
      <w:r w:rsidRPr="008E6BBD">
        <w:rPr>
          <w:b/>
        </w:rPr>
        <w:t>Food Standards (Application A1070 – Packaging Size for Phytosterol-enriched Lower Fat Cheese) Variation</w:t>
      </w:r>
    </w:p>
    <w:p w:rsidR="008E6BBD" w:rsidRPr="008E6BBD" w:rsidRDefault="008E6BBD" w:rsidP="008E6BBD"/>
    <w:p w:rsidR="008E6BBD" w:rsidRPr="008E6BBD" w:rsidRDefault="008E6BBD" w:rsidP="008E6BBD">
      <w:r w:rsidRPr="008E6BBD">
        <w:t xml:space="preserve">The Board of Food Standards Australia New Zealand gives notice of the making of this variation under section 92 of the </w:t>
      </w:r>
      <w:r w:rsidRPr="008E6BBD">
        <w:rPr>
          <w:i/>
        </w:rPr>
        <w:t>Food Standards Australia New Zealand Act 1991</w:t>
      </w:r>
      <w:r w:rsidRPr="008E6BBD">
        <w:t>.  The Standard commences on the date specified in clause 3 of this variation.</w:t>
      </w:r>
    </w:p>
    <w:p w:rsidR="008E6BBD" w:rsidRPr="008E6BBD" w:rsidRDefault="008E6BBD" w:rsidP="008E6BBD"/>
    <w:p w:rsidR="008E6BBD" w:rsidRPr="008E6BBD" w:rsidRDefault="008E6BBD" w:rsidP="008E6BBD">
      <w:r w:rsidRPr="008E6BBD">
        <w:t xml:space="preserve">Dated 15 February 2013 </w:t>
      </w:r>
    </w:p>
    <w:p w:rsidR="008E6BBD" w:rsidRPr="008E6BBD" w:rsidRDefault="008E6BBD" w:rsidP="008E6BBD">
      <w:r w:rsidRPr="008E6BBD">
        <w:rPr>
          <w:rFonts w:eastAsiaTheme="minorHAnsi" w:cstheme="minorBidi"/>
          <w:noProof/>
          <w:sz w:val="22"/>
          <w:szCs w:val="24"/>
          <w:lang w:eastAsia="en-GB"/>
        </w:rPr>
        <w:drawing>
          <wp:inline distT="0" distB="0" distL="0" distR="0" wp14:anchorId="04EA64EC" wp14:editId="2F2E62AA">
            <wp:extent cx="1343025" cy="787400"/>
            <wp:effectExtent l="0" t="0" r="9525" b="0"/>
            <wp:docPr id="17" name="Picture 17"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r w:rsidRPr="008E6BBD">
        <w:t>Standards Management Officer</w:t>
      </w:r>
    </w:p>
    <w:p w:rsidR="008E6BBD" w:rsidRPr="008E6BBD" w:rsidRDefault="008E6BBD" w:rsidP="008E6BBD">
      <w:r w:rsidRPr="008E6BBD">
        <w:t>Delegate of the Board of Food Standards Australia New Zealand</w:t>
      </w:r>
    </w:p>
    <w:p w:rsidR="008E6BBD" w:rsidRPr="008E6BBD" w:rsidRDefault="008E6BBD" w:rsidP="008E6BBD"/>
    <w:p w:rsidR="008E6BBD" w:rsidRPr="008E6BBD" w:rsidRDefault="008E6BBD" w:rsidP="008E6BBD">
      <w:pPr>
        <w:widowControl/>
        <w:tabs>
          <w:tab w:val="clear" w:pos="851"/>
        </w:tabs>
        <w:rPr>
          <w:sz w:val="22"/>
        </w:rPr>
      </w:pPr>
      <w:r w:rsidRPr="008E6BBD">
        <w:rPr>
          <w:sz w:val="22"/>
        </w:rPr>
        <w:br w:type="page"/>
      </w:r>
    </w:p>
    <w:p w:rsidR="008E6BBD" w:rsidRPr="008E6BBD" w:rsidRDefault="008E6BBD" w:rsidP="008E6BBD">
      <w:pPr>
        <w:keepNext/>
        <w:rPr>
          <w:b/>
        </w:rPr>
      </w:pPr>
      <w:r w:rsidRPr="008E6BBD">
        <w:rPr>
          <w:b/>
        </w:rPr>
        <w:lastRenderedPageBreak/>
        <w:t>1</w:t>
      </w:r>
      <w:r w:rsidRPr="008E6BBD">
        <w:rPr>
          <w:b/>
        </w:rPr>
        <w:tab/>
        <w:t>Name</w:t>
      </w:r>
    </w:p>
    <w:p w:rsidR="008E6BBD" w:rsidRPr="008E6BBD" w:rsidRDefault="008E6BBD" w:rsidP="008E6BBD"/>
    <w:p w:rsidR="008E6BBD" w:rsidRPr="008E6BBD" w:rsidRDefault="008E6BBD" w:rsidP="008E6BBD">
      <w:r w:rsidRPr="008E6BBD">
        <w:t xml:space="preserve">This instrument is the </w:t>
      </w:r>
      <w:r w:rsidRPr="008E6BBD">
        <w:rPr>
          <w:i/>
        </w:rPr>
        <w:t>Food Standards (Application A1070 –</w:t>
      </w:r>
      <w:r w:rsidRPr="008E6BBD">
        <w:rPr>
          <w:i/>
          <w:color w:val="FF0000"/>
        </w:rPr>
        <w:t xml:space="preserve"> </w:t>
      </w:r>
      <w:r w:rsidRPr="008E6BBD">
        <w:rPr>
          <w:i/>
        </w:rPr>
        <w:t>Packaging Size for Phytosterol-enriched Lower Fat Cheese)</w:t>
      </w:r>
      <w:r w:rsidRPr="008E6BBD">
        <w:rPr>
          <w:b/>
          <w:i/>
        </w:rPr>
        <w:t xml:space="preserve"> </w:t>
      </w:r>
      <w:r w:rsidRPr="008E6BBD">
        <w:rPr>
          <w:i/>
        </w:rPr>
        <w:t>Variation</w:t>
      </w:r>
      <w:r w:rsidRPr="008E6BBD">
        <w:t>.</w:t>
      </w:r>
    </w:p>
    <w:p w:rsidR="008E6BBD" w:rsidRPr="008E6BBD" w:rsidRDefault="008E6BBD" w:rsidP="008E6BBD"/>
    <w:p w:rsidR="008E6BBD" w:rsidRPr="008E6BBD" w:rsidRDefault="008E6BBD" w:rsidP="008E6BBD">
      <w:pPr>
        <w:keepNext/>
        <w:rPr>
          <w:b/>
        </w:rPr>
      </w:pPr>
      <w:r w:rsidRPr="008E6BBD">
        <w:rPr>
          <w:b/>
        </w:rPr>
        <w:t>2</w:t>
      </w:r>
      <w:r w:rsidRPr="008E6BBD">
        <w:rPr>
          <w:b/>
        </w:rPr>
        <w:tab/>
        <w:t xml:space="preserve">Variation to Standards in the </w:t>
      </w:r>
      <w:r w:rsidRPr="008E6BBD">
        <w:rPr>
          <w:b/>
          <w:i/>
        </w:rPr>
        <w:t>Australia New Zealand Food Standards Code</w:t>
      </w:r>
    </w:p>
    <w:p w:rsidR="008E6BBD" w:rsidRPr="008E6BBD" w:rsidRDefault="008E6BBD" w:rsidP="008E6BBD"/>
    <w:p w:rsidR="008E6BBD" w:rsidRPr="008E6BBD" w:rsidRDefault="008E6BBD" w:rsidP="008E6BBD">
      <w:r w:rsidRPr="008E6BBD">
        <w:t xml:space="preserve">The Schedule varies </w:t>
      </w:r>
      <w:r w:rsidRPr="008E6BBD">
        <w:rPr>
          <w:rFonts w:cs="Arial"/>
          <w:bCs/>
          <w:iCs/>
          <w:lang w:val="en-AU"/>
        </w:rPr>
        <w:t>Standard 2.5.4</w:t>
      </w:r>
      <w:r w:rsidRPr="008E6BBD">
        <w:rPr>
          <w:rFonts w:cs="Arial"/>
          <w:b/>
          <w:bCs/>
          <w:iCs/>
          <w:lang w:val="en-AU"/>
        </w:rPr>
        <w:t xml:space="preserve"> </w:t>
      </w:r>
      <w:r w:rsidRPr="008E6BBD">
        <w:t xml:space="preserve">in the </w:t>
      </w:r>
      <w:r w:rsidRPr="008E6BBD">
        <w:rPr>
          <w:i/>
        </w:rPr>
        <w:t>Australia New Zealand Food Standards Code</w:t>
      </w:r>
      <w:r w:rsidRPr="008E6BBD">
        <w:t>.</w:t>
      </w:r>
    </w:p>
    <w:p w:rsidR="008E6BBD" w:rsidRPr="008E6BBD" w:rsidRDefault="008E6BBD" w:rsidP="008E6BBD"/>
    <w:p w:rsidR="008E6BBD" w:rsidRPr="008E6BBD" w:rsidRDefault="008E6BBD" w:rsidP="008E6BBD">
      <w:pPr>
        <w:keepNext/>
        <w:rPr>
          <w:b/>
        </w:rPr>
      </w:pPr>
      <w:r w:rsidRPr="008E6BBD">
        <w:rPr>
          <w:b/>
        </w:rPr>
        <w:t>3</w:t>
      </w:r>
      <w:r w:rsidRPr="008E6BBD">
        <w:rPr>
          <w:b/>
        </w:rPr>
        <w:tab/>
        <w:t>Commencement</w:t>
      </w:r>
    </w:p>
    <w:p w:rsidR="008E6BBD" w:rsidRPr="008E6BBD" w:rsidRDefault="008E6BBD" w:rsidP="008E6BBD"/>
    <w:p w:rsidR="008E6BBD" w:rsidRPr="008E6BBD" w:rsidRDefault="008E6BBD" w:rsidP="008E6BBD">
      <w:r w:rsidRPr="008E6BBD">
        <w:t>This variation commences on 21 February 2013.</w:t>
      </w:r>
    </w:p>
    <w:p w:rsidR="008E6BBD" w:rsidRPr="008E6BBD" w:rsidRDefault="008E6BBD" w:rsidP="008E6BBD"/>
    <w:p w:rsidR="008E6BBD" w:rsidRPr="008E6BBD" w:rsidRDefault="008E6BBD" w:rsidP="008E6BBD">
      <w:pPr>
        <w:jc w:val="center"/>
        <w:rPr>
          <w:b/>
          <w:caps/>
        </w:rPr>
      </w:pPr>
      <w:r w:rsidRPr="008E6BBD">
        <w:rPr>
          <w:b/>
          <w:caps/>
        </w:rPr>
        <w:t>SCHEDULE</w:t>
      </w:r>
    </w:p>
    <w:p w:rsidR="008E6BBD" w:rsidRPr="008E6BBD" w:rsidRDefault="008E6BBD" w:rsidP="008E6BBD"/>
    <w:p w:rsidR="008E6BBD" w:rsidRPr="008E6BBD" w:rsidRDefault="008E6BBD" w:rsidP="008E6BBD">
      <w:r w:rsidRPr="008E6BBD">
        <w:rPr>
          <w:rFonts w:cs="Arial"/>
          <w:bCs/>
          <w:lang w:val="en-AU"/>
        </w:rPr>
        <w:t>[1]</w:t>
      </w:r>
      <w:r w:rsidRPr="008E6BBD">
        <w:rPr>
          <w:rFonts w:cs="Arial"/>
          <w:lang w:val="en-AU"/>
        </w:rPr>
        <w:tab/>
      </w:r>
      <w:r w:rsidRPr="008E6BBD">
        <w:rPr>
          <w:rFonts w:cs="Arial"/>
          <w:bCs/>
          <w:iCs/>
          <w:lang w:val="en-AU"/>
        </w:rPr>
        <w:t xml:space="preserve">Standard 2.5.4 </w:t>
      </w:r>
      <w:r w:rsidRPr="008E6BBD">
        <w:rPr>
          <w:rFonts w:cs="Arial"/>
          <w:iCs/>
          <w:lang w:val="en-AU"/>
        </w:rPr>
        <w:t xml:space="preserve">is varied by omitting paragraph 3(b). </w:t>
      </w:r>
    </w:p>
    <w:p w:rsidR="008E6BBD" w:rsidRPr="008E6BBD" w:rsidRDefault="008E6BBD" w:rsidP="008E6BBD">
      <w:pPr>
        <w:rPr>
          <w:lang w:bidi="en-US"/>
        </w:rPr>
      </w:pPr>
    </w:p>
    <w:p w:rsidR="008E6BBD" w:rsidRPr="008E6BBD" w:rsidRDefault="008E6BBD" w:rsidP="008E6BBD">
      <w:pPr>
        <w:rPr>
          <w:lang w:bidi="en-US"/>
        </w:rPr>
      </w:pPr>
      <w:r w:rsidRPr="008E6BBD">
        <w:rPr>
          <w:lang w:bidi="en-US"/>
        </w:rPr>
        <w:br w:type="page"/>
      </w:r>
    </w:p>
    <w:p w:rsidR="008E6BBD" w:rsidRPr="008E6BBD" w:rsidRDefault="008E6BBD" w:rsidP="008E6BBD">
      <w:pPr>
        <w:tabs>
          <w:tab w:val="clear" w:pos="851"/>
        </w:tabs>
        <w:rPr>
          <w:noProof/>
          <w:szCs w:val="24"/>
          <w:lang w:eastAsia="en-AU" w:bidi="en-US"/>
        </w:rPr>
      </w:pPr>
      <w:r w:rsidRPr="008E6BBD">
        <w:rPr>
          <w:noProof/>
          <w:color w:val="000000" w:themeColor="text1"/>
          <w:szCs w:val="24"/>
          <w:lang w:eastAsia="en-GB"/>
        </w:rPr>
        <w:lastRenderedPageBreak/>
        <w:drawing>
          <wp:inline distT="0" distB="0" distL="0" distR="0" wp14:anchorId="218BDEB0" wp14:editId="0DEAD1FE">
            <wp:extent cx="2657475" cy="438150"/>
            <wp:effectExtent l="0" t="0" r="9525" b="0"/>
            <wp:docPr id="18" name="Picture 18"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tabs>
          <w:tab w:val="clear" w:pos="851"/>
        </w:tabs>
        <w:rPr>
          <w:szCs w:val="24"/>
          <w:lang w:bidi="en-US"/>
        </w:rPr>
      </w:pPr>
    </w:p>
    <w:p w:rsidR="008E6BBD" w:rsidRPr="008E6BBD" w:rsidRDefault="008E6BBD" w:rsidP="008E6BBD">
      <w:pPr>
        <w:pBdr>
          <w:bottom w:val="single" w:sz="4" w:space="1" w:color="auto"/>
        </w:pBdr>
        <w:tabs>
          <w:tab w:val="clear" w:pos="851"/>
        </w:tabs>
        <w:rPr>
          <w:b/>
          <w:lang w:bidi="en-US"/>
        </w:rPr>
      </w:pPr>
      <w:r w:rsidRPr="008E6BBD">
        <w:rPr>
          <w:b/>
          <w:szCs w:val="24"/>
          <w:lang w:bidi="en-US"/>
        </w:rPr>
        <w:t>Food Standards (Application A1071 – Food derived from Glyphosate-tolerant Canola MON88302) Variation</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 xml:space="preserve">The Board of Food Standards Australia New Zealand gives notice of the making of this variation under section 92 of the </w:t>
      </w:r>
      <w:r w:rsidRPr="008E6BBD">
        <w:rPr>
          <w:i/>
          <w:szCs w:val="24"/>
          <w:lang w:bidi="en-US"/>
        </w:rPr>
        <w:t>Food Standards Australia New Zealand Act 1991</w:t>
      </w:r>
      <w:r w:rsidRPr="008E6BBD">
        <w:rPr>
          <w:szCs w:val="24"/>
          <w:lang w:bidi="en-US"/>
        </w:rPr>
        <w:t>.  The Standard commences on the date specified in clause 3 of this variation.</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 xml:space="preserve">Dated 15 February 2013 </w:t>
      </w:r>
    </w:p>
    <w:p w:rsidR="008E6BBD" w:rsidRPr="008E6BBD" w:rsidRDefault="008E6BBD" w:rsidP="008E6BBD">
      <w:pPr>
        <w:tabs>
          <w:tab w:val="clear" w:pos="851"/>
        </w:tabs>
        <w:rPr>
          <w:szCs w:val="24"/>
          <w:lang w:bidi="en-US"/>
        </w:rPr>
      </w:pPr>
      <w:r w:rsidRPr="008E6BBD">
        <w:rPr>
          <w:rFonts w:eastAsiaTheme="minorHAnsi" w:cstheme="minorBidi"/>
          <w:noProof/>
          <w:sz w:val="22"/>
          <w:szCs w:val="24"/>
          <w:lang w:eastAsia="en-GB"/>
        </w:rPr>
        <w:drawing>
          <wp:inline distT="0" distB="0" distL="0" distR="0" wp14:anchorId="0486BEC4" wp14:editId="40510F3D">
            <wp:extent cx="1343025" cy="787400"/>
            <wp:effectExtent l="0" t="0" r="9525" b="0"/>
            <wp:docPr id="19" name="Picture 19"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pPr>
        <w:tabs>
          <w:tab w:val="clear" w:pos="851"/>
        </w:tabs>
        <w:rPr>
          <w:szCs w:val="24"/>
          <w:lang w:bidi="en-US"/>
        </w:rPr>
      </w:pPr>
      <w:r w:rsidRPr="008E6BBD">
        <w:rPr>
          <w:szCs w:val="24"/>
          <w:lang w:bidi="en-US"/>
        </w:rPr>
        <w:t>Standards Management Officer</w:t>
      </w:r>
    </w:p>
    <w:p w:rsidR="008E6BBD" w:rsidRPr="008E6BBD" w:rsidRDefault="008E6BBD" w:rsidP="008E6BBD">
      <w:pPr>
        <w:tabs>
          <w:tab w:val="clear" w:pos="851"/>
        </w:tabs>
        <w:rPr>
          <w:szCs w:val="24"/>
          <w:lang w:bidi="en-US"/>
        </w:rPr>
      </w:pPr>
      <w:r w:rsidRPr="008E6BBD">
        <w:rPr>
          <w:szCs w:val="24"/>
          <w:lang w:bidi="en-US"/>
        </w:rPr>
        <w:t>Delegate of the Board of Food Standards Australia New Zealand</w:t>
      </w:r>
    </w:p>
    <w:p w:rsidR="008E6BBD" w:rsidRPr="008E6BBD" w:rsidRDefault="008E6BBD" w:rsidP="008E6BBD">
      <w:pPr>
        <w:tabs>
          <w:tab w:val="clear" w:pos="851"/>
        </w:tabs>
        <w:rPr>
          <w:szCs w:val="24"/>
          <w:lang w:bidi="en-US"/>
        </w:rPr>
      </w:pPr>
    </w:p>
    <w:p w:rsidR="008E6BBD" w:rsidRPr="008E6BBD" w:rsidRDefault="008E6BBD" w:rsidP="008E6BBD">
      <w:pPr>
        <w:widowControl/>
        <w:tabs>
          <w:tab w:val="clear" w:pos="851"/>
          <w:tab w:val="left" w:pos="720"/>
        </w:tabs>
        <w:rPr>
          <w:b/>
          <w:sz w:val="28"/>
          <w:szCs w:val="28"/>
          <w:lang w:bidi="en-US"/>
        </w:rPr>
      </w:pPr>
      <w:r w:rsidRPr="008E6BBD">
        <w:rPr>
          <w:b/>
          <w:sz w:val="28"/>
          <w:szCs w:val="28"/>
          <w:lang w:bidi="en-US"/>
        </w:rPr>
        <w:br w:type="page"/>
      </w:r>
    </w:p>
    <w:p w:rsidR="008E6BBD" w:rsidRPr="008E6BBD" w:rsidRDefault="008E6BBD" w:rsidP="008E6BBD">
      <w:pPr>
        <w:keepNext/>
        <w:rPr>
          <w:b/>
        </w:rPr>
      </w:pPr>
      <w:r w:rsidRPr="008E6BBD">
        <w:rPr>
          <w:b/>
        </w:rPr>
        <w:lastRenderedPageBreak/>
        <w:t>1</w:t>
      </w:r>
      <w:r w:rsidRPr="008E6BBD">
        <w:rPr>
          <w:b/>
        </w:rPr>
        <w:tab/>
        <w:t>Name</w:t>
      </w:r>
    </w:p>
    <w:p w:rsidR="008E6BBD" w:rsidRPr="008E6BBD" w:rsidRDefault="008E6BBD" w:rsidP="008E6BBD">
      <w:pPr>
        <w:tabs>
          <w:tab w:val="clear" w:pos="851"/>
        </w:tabs>
        <w:rPr>
          <w:szCs w:val="18"/>
          <w:lang w:bidi="en-US"/>
        </w:rPr>
      </w:pPr>
    </w:p>
    <w:p w:rsidR="008E6BBD" w:rsidRPr="008E6BBD" w:rsidRDefault="008E6BBD" w:rsidP="008E6BBD">
      <w:r w:rsidRPr="008E6BBD">
        <w:t xml:space="preserve">This instrument is the </w:t>
      </w:r>
      <w:r w:rsidRPr="008E6BBD">
        <w:rPr>
          <w:i/>
        </w:rPr>
        <w:t>Food Standards (Application A1071 – Food derived from Glyphosate-tolerant Canola MON88302) Variation</w:t>
      </w:r>
      <w:r w:rsidRPr="008E6BBD">
        <w:t>.</w:t>
      </w:r>
    </w:p>
    <w:p w:rsidR="008E6BBD" w:rsidRPr="008E6BBD" w:rsidRDefault="008E6BBD" w:rsidP="008E6BBD">
      <w:pPr>
        <w:tabs>
          <w:tab w:val="clear" w:pos="851"/>
        </w:tabs>
        <w:rPr>
          <w:szCs w:val="18"/>
          <w:lang w:bidi="en-US"/>
        </w:rPr>
      </w:pPr>
    </w:p>
    <w:p w:rsidR="008E6BBD" w:rsidRPr="008E6BBD" w:rsidRDefault="008E6BBD" w:rsidP="008E6BBD">
      <w:pPr>
        <w:keepNext/>
        <w:rPr>
          <w:b/>
        </w:rPr>
      </w:pPr>
      <w:r w:rsidRPr="008E6BBD">
        <w:rPr>
          <w:b/>
        </w:rPr>
        <w:t>2</w:t>
      </w:r>
      <w:r w:rsidRPr="008E6BBD">
        <w:rPr>
          <w:b/>
        </w:rPr>
        <w:tab/>
        <w:t xml:space="preserve">Variation to Standards in the </w:t>
      </w:r>
      <w:r w:rsidRPr="008E6BBD">
        <w:rPr>
          <w:b/>
          <w:i/>
        </w:rPr>
        <w:t>Australia New Zealand Food Standards Code</w:t>
      </w:r>
    </w:p>
    <w:p w:rsidR="008E6BBD" w:rsidRPr="008E6BBD" w:rsidRDefault="008E6BBD" w:rsidP="008E6BBD">
      <w:pPr>
        <w:tabs>
          <w:tab w:val="clear" w:pos="851"/>
        </w:tabs>
        <w:rPr>
          <w:szCs w:val="18"/>
          <w:lang w:bidi="en-US"/>
        </w:rPr>
      </w:pPr>
    </w:p>
    <w:p w:rsidR="008E6BBD" w:rsidRPr="008E6BBD" w:rsidRDefault="008E6BBD" w:rsidP="008E6BBD">
      <w:r w:rsidRPr="008E6BBD">
        <w:t xml:space="preserve">The Schedule varies the Standards in the </w:t>
      </w:r>
      <w:r w:rsidRPr="008E6BBD">
        <w:rPr>
          <w:i/>
        </w:rPr>
        <w:t>Australia New Zealand Food Standards Code</w:t>
      </w:r>
      <w:r w:rsidRPr="008E6BBD">
        <w:t>.</w:t>
      </w:r>
    </w:p>
    <w:p w:rsidR="008E6BBD" w:rsidRPr="008E6BBD" w:rsidRDefault="008E6BBD" w:rsidP="008E6BBD">
      <w:pPr>
        <w:tabs>
          <w:tab w:val="clear" w:pos="851"/>
        </w:tabs>
        <w:rPr>
          <w:szCs w:val="18"/>
          <w:lang w:bidi="en-US"/>
        </w:rPr>
      </w:pPr>
    </w:p>
    <w:p w:rsidR="008E6BBD" w:rsidRPr="008E6BBD" w:rsidRDefault="008E6BBD" w:rsidP="008E6BBD">
      <w:pPr>
        <w:keepNext/>
        <w:rPr>
          <w:b/>
        </w:rPr>
      </w:pPr>
      <w:r w:rsidRPr="008E6BBD">
        <w:rPr>
          <w:b/>
        </w:rPr>
        <w:t>3</w:t>
      </w:r>
      <w:r w:rsidRPr="008E6BBD">
        <w:rPr>
          <w:b/>
        </w:rPr>
        <w:tab/>
        <w:t>Commencement</w:t>
      </w:r>
    </w:p>
    <w:p w:rsidR="008E6BBD" w:rsidRPr="008E6BBD" w:rsidRDefault="008E6BBD" w:rsidP="008E6BBD">
      <w:pPr>
        <w:tabs>
          <w:tab w:val="clear" w:pos="851"/>
        </w:tabs>
        <w:rPr>
          <w:szCs w:val="18"/>
          <w:lang w:bidi="en-US"/>
        </w:rPr>
      </w:pPr>
    </w:p>
    <w:p w:rsidR="008E6BBD" w:rsidRPr="008E6BBD" w:rsidRDefault="008E6BBD" w:rsidP="008E6BBD">
      <w:r w:rsidRPr="008E6BBD">
        <w:t>These variations commence on 21 February 2013.</w:t>
      </w:r>
    </w:p>
    <w:p w:rsidR="008E6BBD" w:rsidRPr="008E6BBD" w:rsidRDefault="008E6BBD" w:rsidP="008E6BBD">
      <w:pPr>
        <w:tabs>
          <w:tab w:val="clear" w:pos="851"/>
        </w:tabs>
        <w:rPr>
          <w:sz w:val="18"/>
          <w:szCs w:val="18"/>
          <w:lang w:bidi="en-US"/>
        </w:rPr>
      </w:pPr>
    </w:p>
    <w:p w:rsidR="008E6BBD" w:rsidRPr="008E6BBD" w:rsidRDefault="008E6BBD" w:rsidP="008E6BBD">
      <w:pPr>
        <w:jc w:val="center"/>
        <w:rPr>
          <w:b/>
          <w:caps/>
          <w:sz w:val="18"/>
          <w:lang w:bidi="en-US"/>
        </w:rPr>
      </w:pPr>
      <w:r w:rsidRPr="008E6BBD">
        <w:rPr>
          <w:b/>
          <w:caps/>
          <w:sz w:val="18"/>
          <w:lang w:bidi="en-US"/>
        </w:rPr>
        <w:t>SCHEDULE</w:t>
      </w:r>
    </w:p>
    <w:p w:rsidR="008E6BBD" w:rsidRPr="008E6BBD" w:rsidRDefault="008E6BBD" w:rsidP="008E6BBD">
      <w:pPr>
        <w:tabs>
          <w:tab w:val="clear" w:pos="851"/>
        </w:tabs>
        <w:rPr>
          <w:szCs w:val="24"/>
          <w:lang w:bidi="en-US"/>
        </w:rPr>
      </w:pPr>
    </w:p>
    <w:p w:rsidR="008E6BBD" w:rsidRPr="008E6BBD" w:rsidRDefault="008E6BBD" w:rsidP="008E6BBD">
      <w:pPr>
        <w:rPr>
          <w:sz w:val="18"/>
        </w:rPr>
      </w:pPr>
      <w:r w:rsidRPr="008E6BBD">
        <w:rPr>
          <w:bCs/>
          <w:sz w:val="18"/>
        </w:rPr>
        <w:t>[1]</w:t>
      </w:r>
      <w:r w:rsidRPr="008E6BBD">
        <w:rPr>
          <w:bCs/>
          <w:sz w:val="18"/>
        </w:rPr>
        <w:tab/>
        <w:t>Standard 1.5.2</w:t>
      </w:r>
      <w:r w:rsidRPr="008E6BBD">
        <w:rPr>
          <w:sz w:val="18"/>
        </w:rPr>
        <w:t xml:space="preserve"> is varied by inserting in numerical order in the Schedule – </w:t>
      </w:r>
    </w:p>
    <w:p w:rsidR="008E6BBD" w:rsidRPr="008E6BBD" w:rsidRDefault="008E6BBD" w:rsidP="008E6BBD">
      <w:pPr>
        <w:tabs>
          <w:tab w:val="clear" w:pos="851"/>
        </w:tabs>
        <w:rPr>
          <w:szCs w:val="18"/>
          <w:lang w:bidi="en-US"/>
        </w:rPr>
      </w:pPr>
    </w:p>
    <w:p w:rsidR="008E6BBD" w:rsidRPr="008E6BBD" w:rsidRDefault="008E6BBD" w:rsidP="008E6BBD">
      <w:pPr>
        <w:tabs>
          <w:tab w:val="clear" w:pos="851"/>
        </w:tabs>
        <w:rPr>
          <w:szCs w:val="18"/>
          <w:lang w:bidi="en-US"/>
        </w:rPr>
      </w:pPr>
      <w:r w:rsidRPr="008E6BBD">
        <w:rPr>
          <w:szCs w:val="18"/>
          <w:lang w:bidi="en-US"/>
        </w:rPr>
        <w:t>“</w:t>
      </w:r>
    </w:p>
    <w:tbl>
      <w:tblPr>
        <w:tblW w:w="9464" w:type="dxa"/>
        <w:tblLook w:val="04A0" w:firstRow="1" w:lastRow="0" w:firstColumn="1" w:lastColumn="0" w:noHBand="0" w:noVBand="1"/>
      </w:tblPr>
      <w:tblGrid>
        <w:gridCol w:w="1430"/>
        <w:gridCol w:w="1513"/>
        <w:gridCol w:w="3686"/>
        <w:gridCol w:w="2835"/>
      </w:tblGrid>
      <w:tr w:rsidR="008E6BBD" w:rsidRPr="008E6BBD" w:rsidTr="00721B4B">
        <w:trPr>
          <w:cantSplit/>
        </w:trPr>
        <w:tc>
          <w:tcPr>
            <w:tcW w:w="1430" w:type="dxa"/>
            <w:hideMark/>
          </w:tcPr>
          <w:p w:rsidR="008E6BBD" w:rsidRPr="008E6BBD" w:rsidRDefault="008E6BBD" w:rsidP="008E6BBD">
            <w:pPr>
              <w:tabs>
                <w:tab w:val="clear" w:pos="851"/>
              </w:tabs>
              <w:ind w:left="142" w:hanging="142"/>
              <w:rPr>
                <w:bCs/>
                <w:lang w:bidi="en-US"/>
              </w:rPr>
            </w:pPr>
          </w:p>
        </w:tc>
        <w:tc>
          <w:tcPr>
            <w:tcW w:w="1513" w:type="dxa"/>
            <w:hideMark/>
          </w:tcPr>
          <w:p w:rsidR="008E6BBD" w:rsidRPr="008E6BBD" w:rsidRDefault="008E6BBD" w:rsidP="008E6BBD">
            <w:pPr>
              <w:tabs>
                <w:tab w:val="clear" w:pos="851"/>
              </w:tabs>
              <w:ind w:left="142" w:hanging="142"/>
              <w:rPr>
                <w:bCs/>
                <w:sz w:val="18"/>
                <w:lang w:bidi="en-US"/>
              </w:rPr>
            </w:pPr>
            <w:r w:rsidRPr="008E6BBD">
              <w:rPr>
                <w:bCs/>
                <w:sz w:val="18"/>
                <w:lang w:bidi="en-US"/>
              </w:rPr>
              <w:t>1.4</w:t>
            </w:r>
          </w:p>
        </w:tc>
        <w:tc>
          <w:tcPr>
            <w:tcW w:w="3686" w:type="dxa"/>
            <w:hideMark/>
          </w:tcPr>
          <w:p w:rsidR="008E6BBD" w:rsidRPr="008E6BBD" w:rsidRDefault="008E6BBD" w:rsidP="008E6BBD">
            <w:pPr>
              <w:tabs>
                <w:tab w:val="clear" w:pos="851"/>
              </w:tabs>
              <w:ind w:left="142" w:hanging="142"/>
              <w:rPr>
                <w:bCs/>
                <w:sz w:val="18"/>
                <w:lang w:bidi="en-US"/>
              </w:rPr>
            </w:pPr>
            <w:r w:rsidRPr="008E6BBD">
              <w:rPr>
                <w:bCs/>
                <w:sz w:val="18"/>
                <w:lang w:bidi="en-US"/>
              </w:rPr>
              <w:t>Food derived from herbicide-tolerant canola line MON88302</w:t>
            </w:r>
          </w:p>
        </w:tc>
        <w:tc>
          <w:tcPr>
            <w:tcW w:w="2835" w:type="dxa"/>
            <w:hideMark/>
          </w:tcPr>
          <w:p w:rsidR="008E6BBD" w:rsidRPr="008E6BBD" w:rsidRDefault="008E6BBD" w:rsidP="008E6BBD">
            <w:pPr>
              <w:tabs>
                <w:tab w:val="clear" w:pos="851"/>
              </w:tabs>
              <w:ind w:left="142" w:hanging="142"/>
              <w:rPr>
                <w:bCs/>
                <w:sz w:val="18"/>
                <w:lang w:bidi="en-US"/>
              </w:rPr>
            </w:pPr>
          </w:p>
        </w:tc>
      </w:tr>
    </w:tbl>
    <w:p w:rsidR="008E6BBD" w:rsidRPr="008E6BBD" w:rsidRDefault="008E6BBD" w:rsidP="008E6BBD">
      <w:pPr>
        <w:tabs>
          <w:tab w:val="clear" w:pos="851"/>
        </w:tabs>
        <w:jc w:val="right"/>
        <w:rPr>
          <w:szCs w:val="24"/>
          <w:lang w:bidi="en-US"/>
        </w:rPr>
      </w:pPr>
      <w:r w:rsidRPr="008E6BBD">
        <w:rPr>
          <w:szCs w:val="24"/>
          <w:lang w:bidi="en-US"/>
        </w:rPr>
        <w:t>”</w:t>
      </w:r>
    </w:p>
    <w:p w:rsidR="008E6BBD" w:rsidRPr="008E6BBD" w:rsidRDefault="008E6BBD" w:rsidP="008E6BBD">
      <w:pPr>
        <w:tabs>
          <w:tab w:val="clear" w:pos="851"/>
        </w:tabs>
        <w:rPr>
          <w:szCs w:val="24"/>
          <w:lang w:bidi="en-US"/>
        </w:rPr>
      </w:pPr>
      <w:r w:rsidRPr="008E6BBD">
        <w:rPr>
          <w:szCs w:val="24"/>
          <w:lang w:bidi="en-US"/>
        </w:rPr>
        <w:br w:type="page"/>
      </w:r>
    </w:p>
    <w:p w:rsidR="008E6BBD" w:rsidRPr="008E6BBD" w:rsidRDefault="008E6BBD" w:rsidP="008E6BBD">
      <w:pPr>
        <w:tabs>
          <w:tab w:val="clear" w:pos="851"/>
        </w:tabs>
        <w:rPr>
          <w:noProof/>
          <w:szCs w:val="24"/>
          <w:lang w:eastAsia="en-AU" w:bidi="en-US"/>
        </w:rPr>
      </w:pPr>
      <w:r w:rsidRPr="008E6BBD">
        <w:rPr>
          <w:noProof/>
          <w:sz w:val="22"/>
          <w:szCs w:val="24"/>
          <w:lang w:eastAsia="en-GB"/>
        </w:rPr>
        <w:lastRenderedPageBreak/>
        <w:drawing>
          <wp:inline distT="0" distB="0" distL="0" distR="0" wp14:anchorId="073E5B88" wp14:editId="7E4A3616">
            <wp:extent cx="2657475" cy="438150"/>
            <wp:effectExtent l="0" t="0" r="9525" b="0"/>
            <wp:docPr id="2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tabs>
          <w:tab w:val="clear" w:pos="851"/>
        </w:tabs>
        <w:rPr>
          <w:lang w:bidi="en-US"/>
        </w:rPr>
      </w:pPr>
    </w:p>
    <w:p w:rsidR="008E6BBD" w:rsidRPr="008E6BBD" w:rsidRDefault="008E6BBD" w:rsidP="008E6BBD">
      <w:pPr>
        <w:pBdr>
          <w:bottom w:val="single" w:sz="4" w:space="1" w:color="auto"/>
        </w:pBdr>
        <w:tabs>
          <w:tab w:val="clear" w:pos="851"/>
        </w:tabs>
        <w:rPr>
          <w:b/>
          <w:lang w:bidi="en-US"/>
        </w:rPr>
      </w:pPr>
      <w:r w:rsidRPr="008E6BBD">
        <w:rPr>
          <w:b/>
          <w:lang w:bidi="en-US"/>
        </w:rPr>
        <w:t>Food Standards (Proposal 1023 –</w:t>
      </w:r>
      <w:r w:rsidRPr="008E6BBD">
        <w:rPr>
          <w:lang w:bidi="en-US"/>
        </w:rPr>
        <w:t xml:space="preserve"> </w:t>
      </w:r>
      <w:r w:rsidRPr="008E6BBD">
        <w:rPr>
          <w:b/>
          <w:lang w:bidi="en-US"/>
        </w:rPr>
        <w:t>Tutin, Tocopherols &amp; Food for Special Medical Purposes Standards Amendments) Variation</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The Board of Food Standards Australia New Zealand gives notice of the making of this variation under section 92 of the </w:t>
      </w:r>
      <w:r w:rsidRPr="008E6BBD">
        <w:rPr>
          <w:i/>
          <w:lang w:bidi="en-US"/>
        </w:rPr>
        <w:t>Food Standards Australia New Zealand Act 1991</w:t>
      </w:r>
      <w:r w:rsidRPr="008E6BBD">
        <w:rPr>
          <w:lang w:bidi="en-US"/>
        </w:rPr>
        <w:t>. The variation commences on the date specified in clause 3 of this instrument.</w:t>
      </w:r>
    </w:p>
    <w:p w:rsidR="008E6BBD" w:rsidRPr="008E6BBD" w:rsidRDefault="008E6BBD" w:rsidP="008E6BBD">
      <w:pPr>
        <w:tabs>
          <w:tab w:val="clear" w:pos="851"/>
        </w:tabs>
        <w:rPr>
          <w:lang w:bidi="en-US"/>
        </w:rPr>
      </w:pPr>
    </w:p>
    <w:p w:rsidR="008E6BBD" w:rsidRPr="008E6BBD" w:rsidRDefault="008E6BBD" w:rsidP="008E6BBD">
      <w:pPr>
        <w:tabs>
          <w:tab w:val="clear" w:pos="851"/>
        </w:tabs>
        <w:rPr>
          <w:lang w:bidi="en-US"/>
        </w:rPr>
      </w:pPr>
      <w:r w:rsidRPr="008E6BBD">
        <w:rPr>
          <w:lang w:bidi="en-US"/>
        </w:rPr>
        <w:t xml:space="preserve">Dated 15 February 2013 </w:t>
      </w:r>
    </w:p>
    <w:p w:rsidR="008E6BBD" w:rsidRPr="008E6BBD" w:rsidRDefault="008E6BBD" w:rsidP="008E6BBD">
      <w:pPr>
        <w:tabs>
          <w:tab w:val="clear" w:pos="851"/>
        </w:tabs>
        <w:rPr>
          <w:lang w:bidi="en-US"/>
        </w:rPr>
      </w:pPr>
      <w:r w:rsidRPr="008E6BBD">
        <w:rPr>
          <w:rFonts w:eastAsiaTheme="minorHAnsi" w:cstheme="minorBidi"/>
          <w:noProof/>
          <w:sz w:val="22"/>
          <w:szCs w:val="24"/>
          <w:lang w:eastAsia="en-GB"/>
        </w:rPr>
        <w:drawing>
          <wp:inline distT="0" distB="0" distL="0" distR="0" wp14:anchorId="0009E75A" wp14:editId="16FD16D4">
            <wp:extent cx="1343025" cy="787400"/>
            <wp:effectExtent l="0" t="0" r="9525" b="0"/>
            <wp:docPr id="21" name="Picture 2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E6BBD" w:rsidRPr="008E6BBD" w:rsidRDefault="008E6BBD" w:rsidP="008E6BBD">
      <w:pPr>
        <w:tabs>
          <w:tab w:val="clear" w:pos="851"/>
        </w:tabs>
        <w:rPr>
          <w:lang w:bidi="en-US"/>
        </w:rPr>
      </w:pPr>
      <w:r w:rsidRPr="008E6BBD">
        <w:rPr>
          <w:lang w:bidi="en-US"/>
        </w:rPr>
        <w:t>Standards Management Officer</w:t>
      </w:r>
    </w:p>
    <w:p w:rsidR="008E6BBD" w:rsidRPr="008E6BBD" w:rsidRDefault="008E6BBD" w:rsidP="008E6BBD">
      <w:pPr>
        <w:tabs>
          <w:tab w:val="clear" w:pos="851"/>
        </w:tabs>
        <w:rPr>
          <w:lang w:bidi="en-US"/>
        </w:rPr>
      </w:pPr>
      <w:r w:rsidRPr="008E6BBD">
        <w:rPr>
          <w:lang w:bidi="en-US"/>
        </w:rPr>
        <w:t>Delegate of the Board of Food Standards Australia New Zealand</w:t>
      </w:r>
    </w:p>
    <w:p w:rsidR="008E6BBD" w:rsidRPr="008E6BBD" w:rsidRDefault="008E6BBD" w:rsidP="008E6BBD">
      <w:pPr>
        <w:tabs>
          <w:tab w:val="clear" w:pos="851"/>
        </w:tabs>
        <w:rPr>
          <w:lang w:bidi="en-US"/>
        </w:rPr>
      </w:pPr>
    </w:p>
    <w:p w:rsidR="008E6BBD" w:rsidRPr="008E6BBD" w:rsidRDefault="008E6BBD" w:rsidP="008E6BBD">
      <w:pPr>
        <w:widowControl/>
        <w:tabs>
          <w:tab w:val="clear" w:pos="851"/>
        </w:tabs>
        <w:rPr>
          <w:sz w:val="22"/>
          <w:szCs w:val="24"/>
          <w:lang w:bidi="en-US"/>
        </w:rPr>
      </w:pPr>
      <w:r w:rsidRPr="008E6BBD">
        <w:rPr>
          <w:sz w:val="22"/>
          <w:szCs w:val="24"/>
          <w:lang w:bidi="en-US"/>
        </w:rPr>
        <w:br w:type="page"/>
      </w:r>
    </w:p>
    <w:p w:rsidR="008E6BBD" w:rsidRPr="008E6BBD" w:rsidRDefault="008E6BBD" w:rsidP="008E6BBD">
      <w:pPr>
        <w:keepNext/>
        <w:rPr>
          <w:rFonts w:cs="Arial"/>
          <w:b/>
        </w:rPr>
      </w:pPr>
      <w:r w:rsidRPr="008E6BBD">
        <w:rPr>
          <w:rFonts w:cs="Arial"/>
          <w:b/>
        </w:rPr>
        <w:lastRenderedPageBreak/>
        <w:t>1</w:t>
      </w:r>
      <w:r w:rsidRPr="008E6BBD">
        <w:rPr>
          <w:rFonts w:cs="Arial"/>
          <w:b/>
        </w:rPr>
        <w:tab/>
        <w:t>Name</w:t>
      </w:r>
    </w:p>
    <w:p w:rsidR="008E6BBD" w:rsidRPr="008E6BBD" w:rsidRDefault="008E6BBD" w:rsidP="008E6BBD">
      <w:pPr>
        <w:rPr>
          <w:rFonts w:cs="Arial"/>
        </w:rPr>
      </w:pPr>
    </w:p>
    <w:p w:rsidR="008E6BBD" w:rsidRPr="008E6BBD" w:rsidRDefault="008E6BBD" w:rsidP="008E6BBD">
      <w:pPr>
        <w:rPr>
          <w:rFonts w:cs="Arial"/>
        </w:rPr>
      </w:pPr>
      <w:r w:rsidRPr="008E6BBD">
        <w:rPr>
          <w:rFonts w:cs="Arial"/>
        </w:rPr>
        <w:t xml:space="preserve">This instrument is the </w:t>
      </w:r>
      <w:r w:rsidRPr="008E6BBD">
        <w:rPr>
          <w:rFonts w:cs="Arial"/>
          <w:i/>
        </w:rPr>
        <w:t>Food Standards (Proposal 1023 – Tutin, Tocopherols &amp; Food for Special Medical Purposes Standards Amendments) Variation.</w:t>
      </w:r>
      <w:r w:rsidRPr="008E6BBD">
        <w:rPr>
          <w:rFonts w:cs="Arial"/>
        </w:rPr>
        <w:t xml:space="preserve"> </w:t>
      </w:r>
    </w:p>
    <w:p w:rsidR="008E6BBD" w:rsidRPr="008E6BBD" w:rsidRDefault="008E6BBD" w:rsidP="008E6BBD">
      <w:pPr>
        <w:rPr>
          <w:rFonts w:cs="Arial"/>
        </w:rPr>
      </w:pPr>
    </w:p>
    <w:p w:rsidR="008E6BBD" w:rsidRPr="008E6BBD" w:rsidRDefault="008E6BBD" w:rsidP="008E6BBD">
      <w:pPr>
        <w:keepNext/>
        <w:rPr>
          <w:rFonts w:cs="Arial"/>
          <w:b/>
        </w:rPr>
      </w:pPr>
      <w:r w:rsidRPr="008E6BBD">
        <w:rPr>
          <w:rFonts w:cs="Arial"/>
          <w:b/>
        </w:rPr>
        <w:t>2.</w:t>
      </w:r>
      <w:r w:rsidRPr="008E6BBD">
        <w:rPr>
          <w:rFonts w:cs="Arial"/>
          <w:b/>
        </w:rPr>
        <w:tab/>
        <w:t xml:space="preserve">Variation to Standards in the </w:t>
      </w:r>
      <w:r w:rsidRPr="008E6BBD">
        <w:rPr>
          <w:rFonts w:cs="Arial"/>
          <w:b/>
          <w:i/>
        </w:rPr>
        <w:t>Australia New Zealand Food Standards Code</w:t>
      </w:r>
    </w:p>
    <w:p w:rsidR="008E6BBD" w:rsidRPr="008E6BBD" w:rsidRDefault="008E6BBD" w:rsidP="008E6BBD">
      <w:pPr>
        <w:rPr>
          <w:rFonts w:cs="Arial"/>
        </w:rPr>
      </w:pPr>
    </w:p>
    <w:p w:rsidR="008E6BBD" w:rsidRPr="008E6BBD" w:rsidRDefault="008E6BBD" w:rsidP="008E6BBD">
      <w:pPr>
        <w:rPr>
          <w:rFonts w:cs="Arial"/>
        </w:rPr>
      </w:pPr>
      <w:r w:rsidRPr="008E6BBD">
        <w:rPr>
          <w:rFonts w:cs="Arial"/>
        </w:rPr>
        <w:t xml:space="preserve">The Schedule varies the Standards in the </w:t>
      </w:r>
      <w:r w:rsidRPr="008E6BBD">
        <w:rPr>
          <w:rFonts w:cs="Arial"/>
          <w:i/>
        </w:rPr>
        <w:t>Australia New Zealand Food Standards Code</w:t>
      </w:r>
      <w:r w:rsidRPr="008E6BBD">
        <w:rPr>
          <w:rFonts w:cs="Arial"/>
        </w:rPr>
        <w:t>.</w:t>
      </w:r>
    </w:p>
    <w:p w:rsidR="008E6BBD" w:rsidRPr="008E6BBD" w:rsidRDefault="008E6BBD" w:rsidP="008E6BBD">
      <w:pPr>
        <w:tabs>
          <w:tab w:val="clear" w:pos="851"/>
        </w:tabs>
        <w:rPr>
          <w:rFonts w:cs="Arial"/>
          <w:b/>
          <w:szCs w:val="24"/>
          <w:lang w:bidi="en-US"/>
        </w:rPr>
      </w:pPr>
    </w:p>
    <w:p w:rsidR="008E6BBD" w:rsidRPr="008E6BBD" w:rsidRDefault="008E6BBD" w:rsidP="008E6BBD">
      <w:pPr>
        <w:keepNext/>
        <w:rPr>
          <w:rFonts w:cs="Arial"/>
          <w:b/>
        </w:rPr>
      </w:pPr>
      <w:r w:rsidRPr="008E6BBD">
        <w:rPr>
          <w:rFonts w:cs="Arial"/>
          <w:b/>
        </w:rPr>
        <w:t>3.</w:t>
      </w:r>
      <w:r w:rsidRPr="008E6BBD">
        <w:rPr>
          <w:rFonts w:cs="Arial"/>
          <w:b/>
        </w:rPr>
        <w:tab/>
        <w:t>Commencement</w:t>
      </w:r>
    </w:p>
    <w:p w:rsidR="008E6BBD" w:rsidRPr="008E6BBD" w:rsidRDefault="008E6BBD" w:rsidP="008E6BBD">
      <w:pPr>
        <w:rPr>
          <w:rFonts w:cs="Arial"/>
        </w:rPr>
      </w:pPr>
    </w:p>
    <w:p w:rsidR="008E6BBD" w:rsidRPr="008E6BBD" w:rsidRDefault="008E6BBD" w:rsidP="008E6BBD">
      <w:pPr>
        <w:rPr>
          <w:rFonts w:cs="Arial"/>
        </w:rPr>
      </w:pPr>
      <w:r w:rsidRPr="008E6BBD">
        <w:rPr>
          <w:rFonts w:cs="Arial"/>
        </w:rPr>
        <w:t>The variations commence on</w:t>
      </w:r>
      <w:r w:rsidRPr="008E6BBD">
        <w:rPr>
          <w:rFonts w:cs="Arial"/>
          <w:b/>
        </w:rPr>
        <w:t xml:space="preserve"> </w:t>
      </w:r>
      <w:r w:rsidRPr="008E6BBD">
        <w:rPr>
          <w:rFonts w:cs="Arial"/>
        </w:rPr>
        <w:t>21 February 2013</w:t>
      </w:r>
      <w:r w:rsidRPr="008E6BBD">
        <w:rPr>
          <w:rFonts w:cs="Arial"/>
          <w:b/>
          <w:i/>
        </w:rPr>
        <w:t xml:space="preserve"> </w:t>
      </w:r>
      <w:r w:rsidRPr="008E6BBD">
        <w:rPr>
          <w:rFonts w:cs="Arial"/>
        </w:rPr>
        <w:t>except for Item 1.2 of the Schedule which commences on 21 February 2015.</w:t>
      </w:r>
    </w:p>
    <w:p w:rsidR="008E6BBD" w:rsidRPr="008E6BBD" w:rsidRDefault="008E6BBD" w:rsidP="008E6BBD">
      <w:pPr>
        <w:tabs>
          <w:tab w:val="clear" w:pos="851"/>
        </w:tabs>
        <w:rPr>
          <w:rFonts w:cs="Arial"/>
          <w:szCs w:val="24"/>
          <w:lang w:bidi="en-US"/>
        </w:rPr>
      </w:pPr>
    </w:p>
    <w:p w:rsidR="008E6BBD" w:rsidRPr="008E6BBD" w:rsidRDefault="008E6BBD" w:rsidP="008E6BBD">
      <w:pPr>
        <w:jc w:val="center"/>
        <w:rPr>
          <w:rFonts w:cs="Arial"/>
          <w:b/>
          <w:caps/>
          <w:lang w:bidi="en-US"/>
        </w:rPr>
      </w:pPr>
      <w:r w:rsidRPr="008E6BBD">
        <w:rPr>
          <w:rFonts w:cs="Arial"/>
          <w:b/>
          <w:caps/>
          <w:lang w:bidi="en-US"/>
        </w:rPr>
        <w:t xml:space="preserve">SCHEDULE </w:t>
      </w:r>
    </w:p>
    <w:p w:rsidR="008E6BBD" w:rsidRPr="008E6BBD" w:rsidRDefault="008E6BBD" w:rsidP="008E6BBD">
      <w:pPr>
        <w:tabs>
          <w:tab w:val="clear" w:pos="851"/>
        </w:tabs>
        <w:rPr>
          <w:sz w:val="22"/>
          <w:szCs w:val="24"/>
          <w:lang w:bidi="en-US"/>
        </w:rPr>
      </w:pPr>
    </w:p>
    <w:p w:rsidR="008E6BBD" w:rsidRPr="008E6BBD" w:rsidRDefault="008E6BBD" w:rsidP="008E6BBD">
      <w:pPr>
        <w:rPr>
          <w:rFonts w:cs="Arial"/>
          <w:b/>
          <w:bCs/>
          <w:iCs/>
        </w:rPr>
      </w:pPr>
      <w:r w:rsidRPr="008E6BBD">
        <w:rPr>
          <w:rFonts w:cs="Arial"/>
          <w:bCs/>
          <w:iCs/>
        </w:rPr>
        <w:t>[1]</w:t>
      </w:r>
      <w:r w:rsidRPr="008E6BBD">
        <w:rPr>
          <w:rFonts w:cs="Arial"/>
          <w:bCs/>
          <w:iCs/>
        </w:rPr>
        <w:tab/>
        <w:t>Standard 1.2.4 is varied by</w:t>
      </w:r>
      <w:r w:rsidRPr="008E6BBD">
        <w:rPr>
          <w:rFonts w:cs="Arial"/>
          <w:b/>
          <w:bCs/>
          <w:iCs/>
        </w:rPr>
        <w:t xml:space="preserve"> </w:t>
      </w:r>
    </w:p>
    <w:p w:rsidR="008E6BBD" w:rsidRPr="008E6BBD" w:rsidRDefault="008E6BBD" w:rsidP="008E6BBD">
      <w:pPr>
        <w:rPr>
          <w:rFonts w:cs="Arial"/>
          <w:b/>
          <w:bCs/>
          <w:iCs/>
        </w:rPr>
      </w:pPr>
    </w:p>
    <w:p w:rsidR="008E6BBD" w:rsidRPr="008E6BBD" w:rsidRDefault="008E6BBD" w:rsidP="008E6BBD">
      <w:pPr>
        <w:rPr>
          <w:rFonts w:cs="Arial"/>
        </w:rPr>
      </w:pPr>
      <w:r w:rsidRPr="008E6BBD">
        <w:rPr>
          <w:rFonts w:cs="Arial"/>
        </w:rPr>
        <w:t>[1.1]</w:t>
      </w:r>
      <w:r w:rsidRPr="008E6BBD">
        <w:rPr>
          <w:rFonts w:cs="Arial"/>
        </w:rPr>
        <w:tab/>
        <w:t>inserting into Part 2 of Schedule 2</w:t>
      </w:r>
    </w:p>
    <w:p w:rsidR="008E6BBD" w:rsidRPr="008E6BBD" w:rsidRDefault="008E6BBD" w:rsidP="008E6BBD">
      <w:pPr>
        <w:tabs>
          <w:tab w:val="clear" w:pos="851"/>
        </w:tabs>
        <w:rPr>
          <w:sz w:val="22"/>
          <w:szCs w:val="24"/>
          <w:lang w:bidi="en-US"/>
        </w:rPr>
      </w:pPr>
    </w:p>
    <w:tbl>
      <w:tblPr>
        <w:tblW w:w="4111" w:type="dxa"/>
        <w:tblInd w:w="108" w:type="dxa"/>
        <w:tblLook w:val="0000" w:firstRow="0" w:lastRow="0" w:firstColumn="0" w:lastColumn="0" w:noHBand="0" w:noVBand="0"/>
      </w:tblPr>
      <w:tblGrid>
        <w:gridCol w:w="3402"/>
        <w:gridCol w:w="709"/>
      </w:tblGrid>
      <w:tr w:rsidR="008E6BBD" w:rsidRPr="008E6BBD" w:rsidTr="00721B4B">
        <w:tc>
          <w:tcPr>
            <w:tcW w:w="3402" w:type="dxa"/>
          </w:tcPr>
          <w:p w:rsidR="008E6BBD" w:rsidRPr="008E6BBD" w:rsidRDefault="008E6BBD" w:rsidP="008E6BBD">
            <w:pPr>
              <w:tabs>
                <w:tab w:val="clear" w:pos="851"/>
              </w:tabs>
              <w:ind w:left="142" w:hanging="142"/>
              <w:rPr>
                <w:bCs/>
                <w:sz w:val="18"/>
              </w:rPr>
            </w:pPr>
            <w:r w:rsidRPr="008E6BBD">
              <w:rPr>
                <w:bCs/>
                <w:sz w:val="18"/>
                <w:lang w:bidi="en-US"/>
              </w:rPr>
              <w:t>“Tocopherols concentrate, mixed</w:t>
            </w:r>
          </w:p>
        </w:tc>
        <w:tc>
          <w:tcPr>
            <w:tcW w:w="709" w:type="dxa"/>
          </w:tcPr>
          <w:p w:rsidR="008E6BBD" w:rsidRPr="008E6BBD" w:rsidRDefault="008E6BBD" w:rsidP="008E6BBD">
            <w:pPr>
              <w:tabs>
                <w:tab w:val="clear" w:pos="851"/>
              </w:tabs>
              <w:ind w:left="142" w:hanging="142"/>
              <w:rPr>
                <w:bCs/>
                <w:sz w:val="18"/>
              </w:rPr>
            </w:pPr>
            <w:r w:rsidRPr="008E6BBD">
              <w:rPr>
                <w:bCs/>
                <w:sz w:val="18"/>
                <w:lang w:bidi="en-US"/>
              </w:rPr>
              <w:t>306”</w:t>
            </w:r>
          </w:p>
        </w:tc>
      </w:tr>
    </w:tbl>
    <w:p w:rsidR="008E6BBD" w:rsidRPr="008E6BBD" w:rsidRDefault="008E6BBD" w:rsidP="008E6BBD">
      <w:pPr>
        <w:rPr>
          <w:rFonts w:cs="Arial"/>
        </w:rPr>
      </w:pPr>
    </w:p>
    <w:p w:rsidR="008E6BBD" w:rsidRPr="008E6BBD" w:rsidRDefault="008E6BBD" w:rsidP="008E6BBD">
      <w:pPr>
        <w:rPr>
          <w:rFonts w:cs="Arial"/>
        </w:rPr>
      </w:pPr>
      <w:r w:rsidRPr="008E6BBD">
        <w:rPr>
          <w:rFonts w:cs="Arial"/>
        </w:rPr>
        <w:t>[1.2]</w:t>
      </w:r>
      <w:r w:rsidRPr="008E6BBD">
        <w:rPr>
          <w:rFonts w:cs="Arial"/>
        </w:rPr>
        <w:tab/>
        <w:t>omitting from Part 2 of Schedule 2</w:t>
      </w:r>
    </w:p>
    <w:p w:rsidR="008E6BBD" w:rsidRPr="008E6BBD" w:rsidRDefault="008E6BBD" w:rsidP="008E6BBD">
      <w:pPr>
        <w:tabs>
          <w:tab w:val="clear" w:pos="851"/>
        </w:tabs>
        <w:rPr>
          <w:sz w:val="22"/>
          <w:szCs w:val="24"/>
          <w:lang w:bidi="en-US"/>
        </w:rPr>
      </w:pPr>
    </w:p>
    <w:tbl>
      <w:tblPr>
        <w:tblW w:w="4111" w:type="dxa"/>
        <w:tblInd w:w="108" w:type="dxa"/>
        <w:tblLook w:val="0000" w:firstRow="0" w:lastRow="0" w:firstColumn="0" w:lastColumn="0" w:noHBand="0" w:noVBand="0"/>
      </w:tblPr>
      <w:tblGrid>
        <w:gridCol w:w="3402"/>
        <w:gridCol w:w="709"/>
      </w:tblGrid>
      <w:tr w:rsidR="008E6BBD" w:rsidRPr="008E6BBD" w:rsidTr="00721B4B">
        <w:tc>
          <w:tcPr>
            <w:tcW w:w="3402" w:type="dxa"/>
          </w:tcPr>
          <w:p w:rsidR="008E6BBD" w:rsidRPr="008E6BBD" w:rsidRDefault="008E6BBD" w:rsidP="008E6BBD">
            <w:pPr>
              <w:tabs>
                <w:tab w:val="clear" w:pos="851"/>
              </w:tabs>
              <w:ind w:left="142" w:hanging="142"/>
              <w:rPr>
                <w:bCs/>
                <w:sz w:val="18"/>
              </w:rPr>
            </w:pPr>
            <w:r w:rsidRPr="008E6BBD">
              <w:rPr>
                <w:bCs/>
                <w:sz w:val="18"/>
                <w:lang w:bidi="en-US"/>
              </w:rPr>
              <w:t>“Tocopherols concentrate, mixed</w:t>
            </w:r>
          </w:p>
        </w:tc>
        <w:tc>
          <w:tcPr>
            <w:tcW w:w="709" w:type="dxa"/>
          </w:tcPr>
          <w:p w:rsidR="008E6BBD" w:rsidRPr="008E6BBD" w:rsidRDefault="008E6BBD" w:rsidP="008E6BBD">
            <w:pPr>
              <w:tabs>
                <w:tab w:val="clear" w:pos="851"/>
              </w:tabs>
              <w:ind w:left="142" w:hanging="142"/>
              <w:rPr>
                <w:bCs/>
                <w:color w:val="000000" w:themeColor="text1"/>
                <w:sz w:val="18"/>
              </w:rPr>
            </w:pPr>
            <w:r w:rsidRPr="008E6BBD">
              <w:rPr>
                <w:bCs/>
                <w:sz w:val="18"/>
                <w:lang w:bidi="en-US"/>
              </w:rPr>
              <w:t>306”</w:t>
            </w:r>
          </w:p>
        </w:tc>
      </w:tr>
    </w:tbl>
    <w:p w:rsidR="008E6BBD" w:rsidRPr="008E6BBD" w:rsidRDefault="008E6BBD" w:rsidP="008E6BBD">
      <w:pPr>
        <w:tabs>
          <w:tab w:val="clear" w:pos="851"/>
        </w:tabs>
        <w:rPr>
          <w:rFonts w:cs="Arial"/>
          <w:szCs w:val="24"/>
          <w:lang w:bidi="en-US"/>
        </w:rPr>
      </w:pPr>
    </w:p>
    <w:p w:rsidR="008E6BBD" w:rsidRPr="008E6BBD" w:rsidRDefault="008E6BBD" w:rsidP="008E6BBD">
      <w:r w:rsidRPr="008E6BBD">
        <w:t>[1.3]</w:t>
      </w:r>
      <w:r w:rsidRPr="008E6BBD">
        <w:tab/>
        <w:t>omitting “Tocopherols, concentrate mixed” (wherever occurring) and substituting “Tocopherols concentrate, mixed”</w:t>
      </w:r>
    </w:p>
    <w:p w:rsidR="008E6BBD" w:rsidRPr="008E6BBD" w:rsidRDefault="008E6BBD" w:rsidP="008E6BBD">
      <w:pPr>
        <w:tabs>
          <w:tab w:val="clear" w:pos="851"/>
        </w:tabs>
        <w:rPr>
          <w:rFonts w:cs="Arial"/>
          <w:szCs w:val="24"/>
          <w:highlight w:val="yellow"/>
          <w:lang w:bidi="en-US"/>
        </w:rPr>
      </w:pPr>
    </w:p>
    <w:p w:rsidR="008E6BBD" w:rsidRPr="008E6BBD" w:rsidRDefault="008E6BBD" w:rsidP="008E6BBD">
      <w:r w:rsidRPr="008E6BBD">
        <w:t>[1.4]</w:t>
      </w:r>
      <w:r w:rsidRPr="008E6BBD">
        <w:tab/>
        <w:t>inserting at the end of Part 1 of Schedule 2</w:t>
      </w:r>
    </w:p>
    <w:p w:rsidR="008E6BBD" w:rsidRPr="008E6BBD" w:rsidRDefault="008E6BBD" w:rsidP="008E6BBD">
      <w:pPr>
        <w:tabs>
          <w:tab w:val="clear" w:pos="851"/>
        </w:tabs>
        <w:rPr>
          <w:rFonts w:cs="Arial"/>
          <w:szCs w:val="24"/>
          <w:lang w:bidi="en-US"/>
        </w:rPr>
      </w:pPr>
    </w:p>
    <w:p w:rsidR="008E6BBD" w:rsidRPr="008E6BBD" w:rsidRDefault="008E6BBD" w:rsidP="008E6BBD">
      <w:pPr>
        <w:tabs>
          <w:tab w:val="clear" w:pos="851"/>
        </w:tabs>
        <w:rPr>
          <w:sz w:val="22"/>
          <w:szCs w:val="24"/>
          <w:lang w:bidi="en-US"/>
        </w:rPr>
      </w:pPr>
      <w:r w:rsidRPr="008E6BBD">
        <w:rPr>
          <w:sz w:val="22"/>
          <w:szCs w:val="24"/>
          <w:lang w:bidi="en-US"/>
        </w:rPr>
        <w:t>“</w:t>
      </w:r>
    </w:p>
    <w:p w:rsidR="008E6BBD" w:rsidRPr="008E6BBD" w:rsidRDefault="008E6BBD" w:rsidP="008E6BBD">
      <w:pPr>
        <w:keepNext/>
        <w:pBdr>
          <w:top w:val="single" w:sz="6" w:space="0" w:color="auto"/>
          <w:left w:val="single" w:sz="6" w:space="0" w:color="auto"/>
          <w:bottom w:val="single" w:sz="6" w:space="0" w:color="auto"/>
          <w:right w:val="single" w:sz="6" w:space="0" w:color="auto"/>
        </w:pBdr>
        <w:rPr>
          <w:b/>
        </w:rPr>
      </w:pPr>
      <w:r w:rsidRPr="008E6BBD">
        <w:rPr>
          <w:b/>
        </w:rPr>
        <w:t>Editorial note:</w:t>
      </w:r>
    </w:p>
    <w:p w:rsidR="008E6BBD" w:rsidRPr="008E6BBD" w:rsidRDefault="008E6BBD" w:rsidP="008E6BBD">
      <w:pPr>
        <w:keepNext/>
        <w:pBdr>
          <w:top w:val="single" w:sz="6" w:space="0" w:color="auto"/>
          <w:left w:val="single" w:sz="6" w:space="0" w:color="auto"/>
          <w:bottom w:val="single" w:sz="6" w:space="0" w:color="auto"/>
          <w:right w:val="single" w:sz="6" w:space="0" w:color="auto"/>
        </w:pBdr>
      </w:pPr>
    </w:p>
    <w:p w:rsidR="008E6BBD" w:rsidRPr="008E6BBD" w:rsidRDefault="008E6BBD" w:rsidP="008E6BBD">
      <w:pPr>
        <w:keepNext/>
        <w:pBdr>
          <w:top w:val="single" w:sz="6" w:space="0" w:color="auto"/>
          <w:left w:val="single" w:sz="6" w:space="0" w:color="auto"/>
          <w:bottom w:val="single" w:sz="6" w:space="0" w:color="auto"/>
          <w:right w:val="single" w:sz="6" w:space="0" w:color="auto"/>
        </w:pBdr>
      </w:pPr>
      <w:r w:rsidRPr="008E6BBD">
        <w:t>The permissions for food additive Tocopherols concentrate, mixed with INS Number 306 will be repealed 2 years after the date of gazettal of the Food Standards (Proposal P1021 – Code Maintenance X)</w:t>
      </w:r>
      <w:r w:rsidRPr="008E6BBD">
        <w:rPr>
          <w:b/>
        </w:rPr>
        <w:t xml:space="preserve"> </w:t>
      </w:r>
      <w:r w:rsidRPr="008E6BBD">
        <w:t>Variation.</w:t>
      </w:r>
    </w:p>
    <w:p w:rsidR="008E6BBD" w:rsidRPr="008E6BBD" w:rsidRDefault="008E6BBD" w:rsidP="008E6BBD">
      <w:pPr>
        <w:tabs>
          <w:tab w:val="clear" w:pos="851"/>
        </w:tabs>
        <w:jc w:val="right"/>
        <w:rPr>
          <w:sz w:val="22"/>
          <w:szCs w:val="24"/>
          <w:highlight w:val="yellow"/>
          <w:lang w:bidi="en-US"/>
        </w:rPr>
      </w:pPr>
      <w:r w:rsidRPr="008E6BBD">
        <w:rPr>
          <w:sz w:val="22"/>
          <w:szCs w:val="24"/>
          <w:highlight w:val="yellow"/>
          <w:lang w:bidi="en-US"/>
        </w:rPr>
        <w:t>”</w:t>
      </w:r>
    </w:p>
    <w:p w:rsidR="008E6BBD" w:rsidRPr="008E6BBD" w:rsidRDefault="008E6BBD" w:rsidP="008E6BBD">
      <w:r w:rsidRPr="008E6BBD">
        <w:t>[1.5]</w:t>
      </w:r>
      <w:r w:rsidRPr="008E6BBD">
        <w:tab/>
        <w:t>omitting from the end of Schedule 1</w:t>
      </w:r>
    </w:p>
    <w:p w:rsidR="008E6BBD" w:rsidRPr="008E6BBD" w:rsidRDefault="008E6BBD" w:rsidP="008E6BBD">
      <w:pPr>
        <w:rPr>
          <w:rFonts w:cs="Arial"/>
          <w:b/>
          <w:bCs/>
          <w:iCs/>
        </w:rPr>
      </w:pPr>
    </w:p>
    <w:p w:rsidR="008E6BBD" w:rsidRPr="008E6BBD" w:rsidRDefault="008E6BBD" w:rsidP="008E6BBD">
      <w:pPr>
        <w:tabs>
          <w:tab w:val="clear" w:pos="851"/>
        </w:tabs>
        <w:rPr>
          <w:sz w:val="22"/>
          <w:szCs w:val="24"/>
          <w:lang w:bidi="en-US"/>
        </w:rPr>
      </w:pPr>
      <w:r w:rsidRPr="008E6BBD">
        <w:rPr>
          <w:sz w:val="22"/>
          <w:szCs w:val="24"/>
          <w:lang w:bidi="en-US"/>
        </w:rPr>
        <w:t>“</w:t>
      </w:r>
    </w:p>
    <w:p w:rsidR="008E6BBD" w:rsidRPr="008E6BBD" w:rsidRDefault="008E6BBD" w:rsidP="008E6BBD">
      <w:pPr>
        <w:keepNext/>
        <w:pBdr>
          <w:top w:val="single" w:sz="6" w:space="0" w:color="auto"/>
          <w:left w:val="single" w:sz="6" w:space="0" w:color="auto"/>
          <w:bottom w:val="single" w:sz="6" w:space="0" w:color="auto"/>
          <w:right w:val="single" w:sz="6" w:space="0" w:color="auto"/>
        </w:pBdr>
        <w:rPr>
          <w:b/>
        </w:rPr>
      </w:pPr>
      <w:r w:rsidRPr="008E6BBD">
        <w:rPr>
          <w:b/>
        </w:rPr>
        <w:t>Editorial note:</w:t>
      </w:r>
    </w:p>
    <w:p w:rsidR="008E6BBD" w:rsidRPr="008E6BBD" w:rsidRDefault="008E6BBD" w:rsidP="008E6BBD">
      <w:pPr>
        <w:keepNext/>
        <w:pBdr>
          <w:top w:val="single" w:sz="6" w:space="0" w:color="auto"/>
          <w:left w:val="single" w:sz="6" w:space="0" w:color="auto"/>
          <w:bottom w:val="single" w:sz="6" w:space="0" w:color="auto"/>
          <w:right w:val="single" w:sz="6" w:space="0" w:color="auto"/>
        </w:pBdr>
      </w:pPr>
    </w:p>
    <w:p w:rsidR="008E6BBD" w:rsidRPr="008E6BBD" w:rsidRDefault="008E6BBD" w:rsidP="008E6BBD">
      <w:pPr>
        <w:keepNext/>
        <w:pBdr>
          <w:top w:val="single" w:sz="6" w:space="0" w:color="auto"/>
          <w:left w:val="single" w:sz="6" w:space="0" w:color="auto"/>
          <w:bottom w:val="single" w:sz="6" w:space="0" w:color="auto"/>
          <w:right w:val="single" w:sz="6" w:space="0" w:color="auto"/>
        </w:pBdr>
      </w:pPr>
      <w:r w:rsidRPr="008E6BBD">
        <w:t>The permissions for food additive Tocopherols, concentrate mixed with INS Number 306 will be repealed 2 years after the date of gazettal of the Food Standards (Proposal P1021 – Code Maintenance X)</w:t>
      </w:r>
      <w:r w:rsidRPr="008E6BBD">
        <w:rPr>
          <w:b/>
        </w:rPr>
        <w:t xml:space="preserve"> </w:t>
      </w:r>
      <w:r w:rsidRPr="008E6BBD">
        <w:t>Variation.</w:t>
      </w:r>
    </w:p>
    <w:p w:rsidR="008E6BBD" w:rsidRPr="008E6BBD" w:rsidRDefault="008E6BBD" w:rsidP="008E6BBD">
      <w:pPr>
        <w:tabs>
          <w:tab w:val="clear" w:pos="851"/>
        </w:tabs>
        <w:jc w:val="right"/>
        <w:rPr>
          <w:sz w:val="22"/>
          <w:szCs w:val="24"/>
          <w:lang w:bidi="en-US"/>
        </w:rPr>
      </w:pPr>
      <w:r w:rsidRPr="008E6BBD">
        <w:rPr>
          <w:sz w:val="22"/>
          <w:szCs w:val="24"/>
          <w:lang w:bidi="en-US"/>
        </w:rPr>
        <w:t>”</w:t>
      </w:r>
    </w:p>
    <w:p w:rsidR="008E6BBD" w:rsidRPr="008E6BBD" w:rsidRDefault="008E6BBD" w:rsidP="008E6BBD">
      <w:r w:rsidRPr="008E6BBD">
        <w:t>[1.6]</w:t>
      </w:r>
      <w:r w:rsidRPr="008E6BBD">
        <w:tab/>
        <w:t>inserting at the end of Part 2 of Schedule 2</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 w:val="22"/>
          <w:szCs w:val="24"/>
          <w:lang w:bidi="en-US"/>
        </w:rPr>
      </w:pPr>
      <w:r w:rsidRPr="008E6BBD">
        <w:rPr>
          <w:sz w:val="22"/>
          <w:szCs w:val="24"/>
          <w:lang w:bidi="en-US"/>
        </w:rPr>
        <w:t>“</w:t>
      </w:r>
    </w:p>
    <w:p w:rsidR="008E6BBD" w:rsidRPr="008E6BBD" w:rsidRDefault="008E6BBD" w:rsidP="008E6BBD">
      <w:pPr>
        <w:keepNext/>
        <w:pBdr>
          <w:top w:val="single" w:sz="6" w:space="0" w:color="auto"/>
          <w:left w:val="single" w:sz="6" w:space="0" w:color="auto"/>
          <w:bottom w:val="single" w:sz="6" w:space="0" w:color="auto"/>
          <w:right w:val="single" w:sz="6" w:space="0" w:color="auto"/>
        </w:pBdr>
        <w:rPr>
          <w:b/>
        </w:rPr>
      </w:pPr>
      <w:r w:rsidRPr="008E6BBD">
        <w:rPr>
          <w:b/>
        </w:rPr>
        <w:t>Editorial note:</w:t>
      </w:r>
    </w:p>
    <w:p w:rsidR="008E6BBD" w:rsidRPr="008E6BBD" w:rsidRDefault="008E6BBD" w:rsidP="008E6BBD">
      <w:pPr>
        <w:keepNext/>
        <w:pBdr>
          <w:top w:val="single" w:sz="6" w:space="0" w:color="auto"/>
          <w:left w:val="single" w:sz="6" w:space="0" w:color="auto"/>
          <w:bottom w:val="single" w:sz="6" w:space="0" w:color="auto"/>
          <w:right w:val="single" w:sz="6" w:space="0" w:color="auto"/>
        </w:pBdr>
      </w:pPr>
    </w:p>
    <w:p w:rsidR="008E6BBD" w:rsidRPr="008E6BBD" w:rsidRDefault="008E6BBD" w:rsidP="008E6BBD">
      <w:pPr>
        <w:keepNext/>
        <w:pBdr>
          <w:top w:val="single" w:sz="6" w:space="0" w:color="auto"/>
          <w:left w:val="single" w:sz="6" w:space="0" w:color="auto"/>
          <w:bottom w:val="single" w:sz="6" w:space="0" w:color="auto"/>
          <w:right w:val="single" w:sz="6" w:space="0" w:color="auto"/>
        </w:pBdr>
      </w:pPr>
      <w:r w:rsidRPr="008E6BBD">
        <w:t>The permissions for food additive Tocopherols concentrate, mixed with INS Number 306 will be repealed 2 years after the date of gazettal of the Food Standards (Proposal P1021 – Code Maintenance X)</w:t>
      </w:r>
      <w:r w:rsidRPr="008E6BBD">
        <w:rPr>
          <w:b/>
        </w:rPr>
        <w:t xml:space="preserve"> </w:t>
      </w:r>
      <w:r w:rsidRPr="008E6BBD">
        <w:t>Variation.</w:t>
      </w:r>
    </w:p>
    <w:p w:rsidR="008E6BBD" w:rsidRPr="008E6BBD" w:rsidRDefault="008E6BBD" w:rsidP="008E6BBD">
      <w:pPr>
        <w:tabs>
          <w:tab w:val="clear" w:pos="851"/>
        </w:tabs>
        <w:jc w:val="right"/>
        <w:rPr>
          <w:sz w:val="22"/>
          <w:szCs w:val="24"/>
          <w:lang w:bidi="en-US"/>
        </w:rPr>
      </w:pPr>
      <w:r w:rsidRPr="008E6BBD">
        <w:rPr>
          <w:sz w:val="22"/>
          <w:szCs w:val="24"/>
          <w:lang w:bidi="en-US"/>
        </w:rPr>
        <w:t>”</w:t>
      </w:r>
    </w:p>
    <w:p w:rsidR="008E6BBD" w:rsidRPr="008E6BBD" w:rsidRDefault="008E6BBD" w:rsidP="008E6BBD">
      <w:pPr>
        <w:rPr>
          <w:rFonts w:cs="Arial"/>
        </w:rPr>
      </w:pPr>
      <w:r w:rsidRPr="008E6BBD">
        <w:rPr>
          <w:rFonts w:cs="Arial"/>
          <w:bCs/>
          <w:iCs/>
        </w:rPr>
        <w:t>[2]</w:t>
      </w:r>
      <w:r w:rsidRPr="008E6BBD">
        <w:rPr>
          <w:rFonts w:cs="Arial"/>
          <w:bCs/>
          <w:iCs/>
        </w:rPr>
        <w:tab/>
        <w:t>Standard 1.3.1</w:t>
      </w:r>
      <w:r w:rsidRPr="008E6BBD">
        <w:rPr>
          <w:rFonts w:cs="Arial"/>
          <w:b/>
          <w:bCs/>
          <w:iCs/>
        </w:rPr>
        <w:t xml:space="preserve"> </w:t>
      </w:r>
      <w:r w:rsidRPr="008E6BBD">
        <w:rPr>
          <w:rFonts w:cs="Arial"/>
          <w:bCs/>
          <w:iCs/>
        </w:rPr>
        <w:t>is varied by</w:t>
      </w:r>
      <w:r w:rsidRPr="008E6BBD">
        <w:rPr>
          <w:rFonts w:cs="Arial"/>
          <w:b/>
          <w:bCs/>
          <w:iCs/>
        </w:rPr>
        <w:t xml:space="preserve"> </w:t>
      </w:r>
      <w:r w:rsidRPr="008E6BBD">
        <w:rPr>
          <w:rFonts w:cs="Arial"/>
        </w:rPr>
        <w:t>omitting “Tocopherols, concentrate mixed” (wherever occurring) and substituting “Tocopherols concentrate, mixed”</w:t>
      </w:r>
    </w:p>
    <w:p w:rsidR="008E6BBD" w:rsidRPr="008E6BBD" w:rsidRDefault="008E6BBD" w:rsidP="008E6BBD">
      <w:pPr>
        <w:rPr>
          <w:rFonts w:cs="Arial"/>
          <w:b/>
          <w:bCs/>
          <w:iCs/>
          <w:highlight w:val="yellow"/>
        </w:rPr>
      </w:pPr>
      <w:r w:rsidRPr="008E6BBD">
        <w:rPr>
          <w:rFonts w:cs="Arial"/>
          <w:b/>
          <w:bCs/>
          <w:iCs/>
          <w:highlight w:val="yellow"/>
        </w:rPr>
        <w:br w:type="page"/>
      </w:r>
    </w:p>
    <w:p w:rsidR="008E6BBD" w:rsidRPr="008E6BBD" w:rsidRDefault="008E6BBD" w:rsidP="008E6BBD">
      <w:pPr>
        <w:rPr>
          <w:rFonts w:cs="Arial"/>
        </w:rPr>
      </w:pPr>
      <w:r w:rsidRPr="008E6BBD">
        <w:rPr>
          <w:rFonts w:cs="Arial"/>
          <w:bCs/>
          <w:iCs/>
        </w:rPr>
        <w:lastRenderedPageBreak/>
        <w:t>[3]</w:t>
      </w:r>
      <w:r w:rsidRPr="008E6BBD">
        <w:rPr>
          <w:rFonts w:cs="Arial"/>
          <w:bCs/>
          <w:i/>
          <w:iCs/>
        </w:rPr>
        <w:tab/>
      </w:r>
      <w:r w:rsidRPr="008E6BBD">
        <w:rPr>
          <w:rFonts w:cs="Arial"/>
          <w:bCs/>
          <w:iCs/>
        </w:rPr>
        <w:t>Standard 1.4.1</w:t>
      </w:r>
      <w:r w:rsidRPr="008E6BBD">
        <w:rPr>
          <w:rFonts w:cs="Arial"/>
          <w:b/>
          <w:bCs/>
          <w:i/>
          <w:iCs/>
        </w:rPr>
        <w:t xml:space="preserve"> </w:t>
      </w:r>
      <w:r w:rsidRPr="008E6BBD">
        <w:rPr>
          <w:rFonts w:cs="Arial"/>
        </w:rPr>
        <w:t xml:space="preserve">is varied by omitting from subclause 5(5) “31 March 2013” and substituting </w:t>
      </w:r>
      <w:r w:rsidRPr="008E6BBD">
        <w:rPr>
          <w:rFonts w:cs="Arial"/>
          <w:i/>
        </w:rPr>
        <w:t>“</w:t>
      </w:r>
      <w:r w:rsidRPr="008E6BBD">
        <w:rPr>
          <w:rFonts w:cs="Arial"/>
        </w:rPr>
        <w:t>31 March 2015</w:t>
      </w:r>
      <w:r w:rsidRPr="008E6BBD">
        <w:rPr>
          <w:rFonts w:cs="Arial"/>
          <w:i/>
        </w:rPr>
        <w:t>”.</w:t>
      </w:r>
    </w:p>
    <w:p w:rsidR="008E6BBD" w:rsidRPr="008E6BBD" w:rsidRDefault="008E6BBD" w:rsidP="008E6BBD">
      <w:pPr>
        <w:tabs>
          <w:tab w:val="clear" w:pos="851"/>
        </w:tabs>
        <w:rPr>
          <w:rFonts w:cs="Arial"/>
          <w:szCs w:val="24"/>
          <w:highlight w:val="yellow"/>
          <w:lang w:bidi="en-US"/>
        </w:rPr>
      </w:pPr>
    </w:p>
    <w:p w:rsidR="008E6BBD" w:rsidRPr="008E6BBD" w:rsidRDefault="008E6BBD" w:rsidP="008E6BBD">
      <w:pPr>
        <w:rPr>
          <w:rFonts w:cs="Arial"/>
        </w:rPr>
      </w:pPr>
      <w:r w:rsidRPr="008E6BBD">
        <w:rPr>
          <w:rFonts w:cs="Arial"/>
        </w:rPr>
        <w:t>[4]</w:t>
      </w:r>
      <w:r w:rsidRPr="008E6BBD">
        <w:rPr>
          <w:rFonts w:cs="Arial"/>
        </w:rPr>
        <w:tab/>
        <w:t xml:space="preserve">Standard 1.5.1 is varied by </w:t>
      </w:r>
    </w:p>
    <w:p w:rsidR="008E6BBD" w:rsidRPr="008E6BBD" w:rsidRDefault="008E6BBD" w:rsidP="008E6BBD">
      <w:pPr>
        <w:rPr>
          <w:rFonts w:cs="Arial"/>
        </w:rPr>
      </w:pPr>
    </w:p>
    <w:p w:rsidR="008E6BBD" w:rsidRPr="008E6BBD" w:rsidRDefault="008E6BBD" w:rsidP="008E6BBD">
      <w:pPr>
        <w:rPr>
          <w:rFonts w:cs="Arial"/>
        </w:rPr>
      </w:pPr>
      <w:r w:rsidRPr="008E6BBD">
        <w:rPr>
          <w:rFonts w:cs="Arial"/>
        </w:rPr>
        <w:t xml:space="preserve">[4.1] </w:t>
      </w:r>
      <w:r w:rsidRPr="008E6BBD">
        <w:rPr>
          <w:rFonts w:cs="Arial"/>
        </w:rPr>
        <w:tab/>
        <w:t>inserting after clause 1</w:t>
      </w:r>
    </w:p>
    <w:p w:rsidR="008E6BBD" w:rsidRPr="008E6BBD" w:rsidRDefault="008E6BBD" w:rsidP="008E6BBD">
      <w:pPr>
        <w:tabs>
          <w:tab w:val="clear" w:pos="851"/>
        </w:tabs>
        <w:rPr>
          <w:rFonts w:cs="Arial"/>
          <w:b/>
          <w:bCs/>
          <w:szCs w:val="24"/>
          <w:lang w:bidi="en-US"/>
        </w:rPr>
      </w:pPr>
    </w:p>
    <w:p w:rsidR="008E6BBD" w:rsidRPr="008E6BBD" w:rsidRDefault="008E6BBD" w:rsidP="008E6BBD">
      <w:pPr>
        <w:keepNext/>
        <w:rPr>
          <w:b/>
        </w:rPr>
      </w:pPr>
      <w:r w:rsidRPr="008E6BBD">
        <w:rPr>
          <w:b/>
        </w:rPr>
        <w:t xml:space="preserve">“2A </w:t>
      </w:r>
      <w:r w:rsidRPr="008E6BBD">
        <w:rPr>
          <w:b/>
        </w:rPr>
        <w:tab/>
        <w:t>Foods for Special Medical Purposes</w:t>
      </w:r>
    </w:p>
    <w:p w:rsidR="008E6BBD" w:rsidRPr="008E6BBD" w:rsidRDefault="008E6BBD" w:rsidP="008E6BBD">
      <w:pPr>
        <w:tabs>
          <w:tab w:val="clear" w:pos="851"/>
        </w:tabs>
        <w:rPr>
          <w:rFonts w:cs="Arial"/>
          <w:bCs/>
          <w:szCs w:val="24"/>
          <w:lang w:bidi="en-US"/>
        </w:rPr>
      </w:pPr>
    </w:p>
    <w:p w:rsidR="008E6BBD" w:rsidRPr="008E6BBD" w:rsidRDefault="008E6BBD" w:rsidP="008E6BBD">
      <w:pPr>
        <w:tabs>
          <w:tab w:val="clear" w:pos="851"/>
        </w:tabs>
        <w:rPr>
          <w:rFonts w:cs="Arial"/>
          <w:bCs/>
          <w:szCs w:val="24"/>
          <w:lang w:bidi="en-US"/>
        </w:rPr>
      </w:pPr>
      <w:r w:rsidRPr="008E6BBD">
        <w:rPr>
          <w:rFonts w:cs="Arial"/>
          <w:bCs/>
          <w:szCs w:val="24"/>
          <w:lang w:bidi="en-US"/>
        </w:rPr>
        <w:t>To avoid doubt, the presence of a food in a food for special medical purposes or the use of a food as a food for special medical purposes does not constitute a history of human consumption in Australia or New Zealand in relation to that food for the purposes of this Standard.</w:t>
      </w:r>
    </w:p>
    <w:p w:rsidR="008E6BBD" w:rsidRPr="008E6BBD" w:rsidRDefault="008E6BBD" w:rsidP="008E6BBD">
      <w:pPr>
        <w:tabs>
          <w:tab w:val="clear" w:pos="851"/>
        </w:tabs>
        <w:rPr>
          <w:rFonts w:cs="Arial"/>
          <w:bCs/>
          <w:szCs w:val="24"/>
          <w:lang w:bidi="en-US"/>
        </w:rPr>
      </w:pPr>
    </w:p>
    <w:p w:rsidR="008E6BBD" w:rsidRPr="008E6BBD" w:rsidRDefault="008E6BBD" w:rsidP="008E6BBD">
      <w:pPr>
        <w:keepNext/>
        <w:pBdr>
          <w:top w:val="single" w:sz="6" w:space="0" w:color="auto"/>
          <w:left w:val="single" w:sz="6" w:space="0" w:color="auto"/>
          <w:bottom w:val="single" w:sz="6" w:space="0" w:color="auto"/>
          <w:right w:val="single" w:sz="6" w:space="0" w:color="auto"/>
        </w:pBdr>
        <w:rPr>
          <w:rFonts w:cs="Arial"/>
          <w:b/>
        </w:rPr>
      </w:pPr>
      <w:r w:rsidRPr="008E6BBD">
        <w:rPr>
          <w:rFonts w:cs="Arial"/>
          <w:b/>
        </w:rPr>
        <w:t xml:space="preserve">Editorial note: </w:t>
      </w:r>
    </w:p>
    <w:p w:rsidR="008E6BBD" w:rsidRPr="008E6BBD" w:rsidRDefault="008E6BBD" w:rsidP="008E6BBD">
      <w:pPr>
        <w:keepNext/>
        <w:pBdr>
          <w:top w:val="single" w:sz="6" w:space="0" w:color="auto"/>
          <w:left w:val="single" w:sz="6" w:space="0" w:color="auto"/>
          <w:bottom w:val="single" w:sz="6" w:space="0" w:color="auto"/>
          <w:right w:val="single" w:sz="6" w:space="0" w:color="auto"/>
        </w:pBdr>
        <w:rPr>
          <w:rFonts w:cs="Arial"/>
          <w:b/>
        </w:rPr>
      </w:pPr>
    </w:p>
    <w:p w:rsidR="008E6BBD" w:rsidRPr="008E6BBD" w:rsidRDefault="008E6BBD" w:rsidP="008E6BBD">
      <w:pPr>
        <w:keepNext/>
        <w:pBdr>
          <w:top w:val="single" w:sz="6" w:space="0" w:color="auto"/>
          <w:left w:val="single" w:sz="6" w:space="0" w:color="auto"/>
          <w:bottom w:val="single" w:sz="6" w:space="0" w:color="auto"/>
          <w:right w:val="single" w:sz="6" w:space="0" w:color="auto"/>
        </w:pBdr>
        <w:rPr>
          <w:rFonts w:cs="Arial"/>
        </w:rPr>
      </w:pPr>
      <w:r w:rsidRPr="008E6BBD">
        <w:rPr>
          <w:rFonts w:cs="Arial"/>
        </w:rPr>
        <w:t>Standard 1.5.1 does not apply to foods for special medical purposes. See paragraph 3(1)(b) of Standard 2.9.5.</w:t>
      </w:r>
    </w:p>
    <w:p w:rsidR="008E6BBD" w:rsidRPr="008E6BBD" w:rsidRDefault="008E6BBD" w:rsidP="008E6BBD">
      <w:pPr>
        <w:jc w:val="right"/>
      </w:pPr>
      <w:r w:rsidRPr="008E6BBD">
        <w:rPr>
          <w:rFonts w:cs="Arial"/>
        </w:rPr>
        <w:t>”</w:t>
      </w:r>
    </w:p>
    <w:p w:rsidR="008E6BBD" w:rsidRPr="008E6BBD" w:rsidRDefault="008E6BBD" w:rsidP="008E6BBD">
      <w:pPr>
        <w:rPr>
          <w:rFonts w:cs="Arial"/>
          <w:b/>
        </w:rPr>
      </w:pPr>
      <w:r w:rsidRPr="008E6BBD">
        <w:rPr>
          <w:rFonts w:cs="Arial"/>
        </w:rPr>
        <w:t>[4.2]</w:t>
      </w:r>
      <w:r w:rsidRPr="008E6BBD">
        <w:rPr>
          <w:rFonts w:cs="Arial"/>
          <w:b/>
        </w:rPr>
        <w:t xml:space="preserve"> </w:t>
      </w:r>
      <w:r w:rsidRPr="008E6BBD">
        <w:t xml:space="preserve"> </w:t>
      </w:r>
      <w:r w:rsidRPr="008E6BBD">
        <w:tab/>
        <w:t>updating the Table of Provisions to reflect these variations.</w:t>
      </w:r>
    </w:p>
    <w:p w:rsidR="008E6BBD" w:rsidRPr="008E6BBD" w:rsidRDefault="008E6BBD" w:rsidP="008E6BBD">
      <w:pPr>
        <w:rPr>
          <w:rFonts w:cs="Arial"/>
          <w:b/>
          <w:highlight w:val="yellow"/>
        </w:rPr>
      </w:pPr>
      <w:r w:rsidRPr="008E6BBD">
        <w:rPr>
          <w:rFonts w:cs="Arial"/>
          <w:b/>
          <w:highlight w:val="yellow"/>
        </w:rPr>
        <w:t xml:space="preserve"> </w:t>
      </w:r>
    </w:p>
    <w:p w:rsidR="008E6BBD" w:rsidRPr="008E6BBD" w:rsidRDefault="008E6BBD" w:rsidP="008E6BBD">
      <w:pPr>
        <w:rPr>
          <w:rFonts w:cs="Arial"/>
        </w:rPr>
      </w:pPr>
      <w:r w:rsidRPr="008E6BBD">
        <w:rPr>
          <w:rFonts w:cs="Arial"/>
        </w:rPr>
        <w:t>[5]</w:t>
      </w:r>
      <w:r w:rsidRPr="008E6BBD">
        <w:rPr>
          <w:rFonts w:cs="Arial"/>
        </w:rPr>
        <w:tab/>
        <w:t>Standard 2.9.5</w:t>
      </w:r>
      <w:r w:rsidRPr="008E6BBD">
        <w:rPr>
          <w:rFonts w:cs="Arial"/>
          <w:b/>
        </w:rPr>
        <w:t xml:space="preserve"> </w:t>
      </w:r>
      <w:r w:rsidRPr="008E6BBD">
        <w:rPr>
          <w:rFonts w:cs="Arial"/>
        </w:rPr>
        <w:t>is varied by</w:t>
      </w:r>
    </w:p>
    <w:p w:rsidR="008E6BBD" w:rsidRPr="008E6BBD" w:rsidRDefault="008E6BBD" w:rsidP="008E6BBD">
      <w:pPr>
        <w:tabs>
          <w:tab w:val="clear" w:pos="851"/>
        </w:tabs>
        <w:rPr>
          <w:rFonts w:cs="Arial"/>
          <w:szCs w:val="24"/>
          <w:lang w:bidi="en-US"/>
        </w:rPr>
      </w:pPr>
    </w:p>
    <w:p w:rsidR="008E6BBD" w:rsidRPr="008E6BBD" w:rsidRDefault="008E6BBD" w:rsidP="008E6BBD">
      <w:r w:rsidRPr="008E6BBD">
        <w:rPr>
          <w:rFonts w:cs="Arial"/>
        </w:rPr>
        <w:t>[5.1]</w:t>
      </w:r>
      <w:r w:rsidRPr="008E6BBD">
        <w:t xml:space="preserve"> </w:t>
      </w:r>
      <w:r w:rsidRPr="008E6BBD">
        <w:tab/>
        <w:t>inserting after clause 2</w:t>
      </w:r>
    </w:p>
    <w:p w:rsidR="008E6BBD" w:rsidRPr="008E6BBD" w:rsidRDefault="008E6BBD" w:rsidP="008E6BBD">
      <w:pPr>
        <w:tabs>
          <w:tab w:val="clear" w:pos="851"/>
        </w:tabs>
        <w:rPr>
          <w:szCs w:val="24"/>
          <w:lang w:bidi="en-US"/>
        </w:rPr>
      </w:pPr>
    </w:p>
    <w:p w:rsidR="008E6BBD" w:rsidRPr="008E6BBD" w:rsidRDefault="008E6BBD" w:rsidP="008E6BBD">
      <w:pPr>
        <w:keepNext/>
        <w:rPr>
          <w:b/>
        </w:rPr>
      </w:pPr>
      <w:r w:rsidRPr="008E6BBD">
        <w:rPr>
          <w:rFonts w:cs="Arial"/>
          <w:b/>
          <w:bCs/>
        </w:rPr>
        <w:t xml:space="preserve">“2A </w:t>
      </w:r>
      <w:r w:rsidRPr="008E6BBD">
        <w:rPr>
          <w:rFonts w:cs="Arial"/>
          <w:b/>
          <w:bCs/>
        </w:rPr>
        <w:tab/>
        <w:t>Deemed c</w:t>
      </w:r>
      <w:r w:rsidRPr="008E6BBD">
        <w:rPr>
          <w:b/>
        </w:rPr>
        <w:t xml:space="preserve">ompliance with Standard for certain periods </w:t>
      </w:r>
    </w:p>
    <w:p w:rsidR="008E6BBD" w:rsidRPr="008E6BBD" w:rsidRDefault="008E6BBD" w:rsidP="008E6BBD">
      <w:pPr>
        <w:tabs>
          <w:tab w:val="clear" w:pos="851"/>
        </w:tabs>
        <w:rPr>
          <w:b/>
          <w:szCs w:val="24"/>
          <w:lang w:bidi="en-US"/>
        </w:rPr>
      </w:pPr>
    </w:p>
    <w:p w:rsidR="008E6BBD" w:rsidRPr="008E6BBD" w:rsidRDefault="008E6BBD" w:rsidP="008E6BBD">
      <w:r w:rsidRPr="008E6BBD">
        <w:t>(1)</w:t>
      </w:r>
      <w:r w:rsidRPr="008E6BBD">
        <w:tab/>
        <w:t>This clause applies to a food for special medical purposes that does not comply with this Standard.</w:t>
      </w:r>
    </w:p>
    <w:p w:rsidR="008E6BBD" w:rsidRPr="008E6BBD" w:rsidRDefault="008E6BBD" w:rsidP="008E6BBD"/>
    <w:p w:rsidR="008E6BBD" w:rsidRPr="008E6BBD" w:rsidRDefault="008E6BBD" w:rsidP="008E6BBD">
      <w:r w:rsidRPr="008E6BBD">
        <w:t>(2)</w:t>
      </w:r>
      <w:r w:rsidRPr="008E6BBD">
        <w:tab/>
        <w:t>If the food for special medical purposes is present in Australia or New Zealand on the date of commencement of this Standard, the food for special medical purposes is taken to comply with this Standard during the period that starts on that date of commencement and ends on 28 June 2014.</w:t>
      </w:r>
    </w:p>
    <w:p w:rsidR="008E6BBD" w:rsidRPr="008E6BBD" w:rsidRDefault="008E6BBD" w:rsidP="008E6BBD">
      <w:pPr>
        <w:tabs>
          <w:tab w:val="clear" w:pos="851"/>
        </w:tabs>
        <w:rPr>
          <w:szCs w:val="24"/>
          <w:lang w:bidi="en-US"/>
        </w:rPr>
      </w:pPr>
    </w:p>
    <w:p w:rsidR="008E6BBD" w:rsidRPr="008E6BBD" w:rsidRDefault="008E6BBD" w:rsidP="008E6BBD">
      <w:r w:rsidRPr="008E6BBD">
        <w:t>(3)</w:t>
      </w:r>
      <w:r w:rsidRPr="008E6BBD">
        <w:tab/>
        <w:t>If the food for special medical purposes is imported into Australia or New Zealand on a date after the date of commencement of this Standard, the food for special medical purposes is taken to comply with this Standard during the period that starts immediately prior to importation and ends on 28 June 2014.</w:t>
      </w:r>
    </w:p>
    <w:p w:rsidR="008E6BBD" w:rsidRPr="008E6BBD" w:rsidRDefault="008E6BBD" w:rsidP="008E6BBD">
      <w:pPr>
        <w:tabs>
          <w:tab w:val="clear" w:pos="851"/>
        </w:tabs>
        <w:rPr>
          <w:szCs w:val="24"/>
          <w:lang w:bidi="en-US"/>
        </w:rPr>
      </w:pPr>
    </w:p>
    <w:p w:rsidR="008E6BBD" w:rsidRPr="008E6BBD" w:rsidRDefault="008E6BBD" w:rsidP="008E6BBD">
      <w:r w:rsidRPr="008E6BBD">
        <w:t>(4)</w:t>
      </w:r>
      <w:r w:rsidRPr="008E6BBD">
        <w:tab/>
        <w:t>If the food for special medical purposes is produced in Australia or New Zealand on a date after the date of commencement of this Standard, the food for special medical purposes is taken to comply with this Standard during the period that starts on the date the food for special medical purposes was produced and ends on 28 June 2014.”</w:t>
      </w:r>
    </w:p>
    <w:p w:rsidR="008E6BBD" w:rsidRPr="008E6BBD" w:rsidRDefault="008E6BBD" w:rsidP="008E6BBD">
      <w:pPr>
        <w:tabs>
          <w:tab w:val="clear" w:pos="851"/>
        </w:tabs>
        <w:rPr>
          <w:sz w:val="22"/>
          <w:szCs w:val="24"/>
          <w:highlight w:val="yellow"/>
          <w:lang w:bidi="en-US"/>
        </w:rPr>
      </w:pPr>
    </w:p>
    <w:p w:rsidR="008E6BBD" w:rsidRPr="008E6BBD" w:rsidRDefault="008E6BBD" w:rsidP="008E6BBD">
      <w:r w:rsidRPr="008E6BBD">
        <w:rPr>
          <w:rFonts w:cs="Arial"/>
        </w:rPr>
        <w:t>[5.2]</w:t>
      </w:r>
      <w:r w:rsidRPr="008E6BBD">
        <w:t xml:space="preserve"> </w:t>
      </w:r>
      <w:r w:rsidRPr="008E6BBD">
        <w:tab/>
        <w:t>inserting after subclause 3(2)</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“(3)</w:t>
      </w:r>
      <w:r w:rsidRPr="008E6BBD">
        <w:rPr>
          <w:szCs w:val="24"/>
          <w:lang w:bidi="en-US"/>
        </w:rPr>
        <w:tab/>
        <w:t>Subclause 1(2) of Standard 1.1.1 does not apply in relation to a food for special medical purposes that did not comply with Standard 2.9.5 on the date that Standard 2.9.5 commenced.”</w:t>
      </w:r>
    </w:p>
    <w:p w:rsidR="008E6BBD" w:rsidRPr="008E6BBD" w:rsidRDefault="008E6BBD" w:rsidP="008E6BBD">
      <w:pPr>
        <w:rPr>
          <w:rFonts w:cs="Arial"/>
          <w:highlight w:val="yellow"/>
        </w:rPr>
      </w:pPr>
    </w:p>
    <w:p w:rsidR="008E6BBD" w:rsidRPr="008E6BBD" w:rsidRDefault="008E6BBD" w:rsidP="008E6BBD">
      <w:r w:rsidRPr="008E6BBD">
        <w:rPr>
          <w:rFonts w:cs="Arial"/>
        </w:rPr>
        <w:t>[5.3]</w:t>
      </w:r>
      <w:r w:rsidRPr="008E6BBD">
        <w:t xml:space="preserve"> </w:t>
      </w:r>
      <w:r w:rsidRPr="008E6BBD">
        <w:tab/>
        <w:t>omitting from Column 2 of Schedule 1 for Amino acids “L-carnitine”</w:t>
      </w:r>
    </w:p>
    <w:p w:rsidR="008E6BBD" w:rsidRPr="008E6BBD" w:rsidRDefault="008E6BBD" w:rsidP="008E6BBD"/>
    <w:p w:rsidR="008E6BBD" w:rsidRPr="008E6BBD" w:rsidRDefault="008E6BBD" w:rsidP="008E6BBD">
      <w:r w:rsidRPr="008E6BBD">
        <w:rPr>
          <w:rFonts w:cs="Arial"/>
        </w:rPr>
        <w:t>[5.4]</w:t>
      </w:r>
      <w:r w:rsidRPr="008E6BBD">
        <w:t xml:space="preserve"> </w:t>
      </w:r>
      <w:r w:rsidRPr="008E6BBD">
        <w:tab/>
        <w:t>omitting from Schedule 1</w:t>
      </w:r>
    </w:p>
    <w:p w:rsidR="008E6BBD" w:rsidRPr="008E6BBD" w:rsidRDefault="008E6BBD" w:rsidP="008E6BBD">
      <w:pPr>
        <w:tabs>
          <w:tab w:val="clear" w:pos="851"/>
        </w:tabs>
        <w:rPr>
          <w:szCs w:val="24"/>
          <w:lang w:bidi="en-US"/>
        </w:rPr>
      </w:pPr>
      <w:r w:rsidRPr="008E6BBD">
        <w:rPr>
          <w:szCs w:val="24"/>
          <w:lang w:bidi="en-US"/>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Carnitine</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L-carnitine hydrochloride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L-carnitine L-tartrate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Choline</w:t>
            </w:r>
          </w:p>
        </w:tc>
      </w:tr>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bitartrate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chloride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citrate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hydrogen tartrate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Inositol</w:t>
            </w:r>
          </w:p>
        </w:tc>
      </w:tr>
      <w:tr w:rsidR="008E6BBD" w:rsidRPr="008E6BBD" w:rsidTr="00721B4B">
        <w:trPr>
          <w:trHeight w:val="57"/>
        </w:trPr>
        <w:tc>
          <w:tcPr>
            <w:tcW w:w="4544"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Inositol</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Adenosine 5</w:t>
            </w:r>
            <w:r w:rsidRPr="008E6BBD">
              <w:rPr>
                <w:rFonts w:cs="Arial"/>
                <w:bCs/>
                <w:sz w:val="18"/>
                <w:lang w:eastAsia="en-GB" w:bidi="en-US"/>
              </w:rPr>
              <w:t>′</w:t>
            </w:r>
            <w:r w:rsidRPr="008E6BBD">
              <w:rPr>
                <w:bCs/>
                <w:sz w:val="18"/>
                <w:lang w:val="en-AU" w:eastAsia="en-AU" w:bidi="en-US"/>
              </w:rPr>
              <w:t>-monophosphate</w:t>
            </w:r>
          </w:p>
        </w:tc>
      </w:tr>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lastRenderedPageBreak/>
              <w:t>Nucleotides</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Adenosine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Cytidine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Cytidine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Guanosine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Guanosine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Uridine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Uridine 5</w:t>
            </w:r>
            <w:r w:rsidRPr="008E6BBD">
              <w:rPr>
                <w:rFonts w:cs="Arial"/>
                <w:bCs/>
                <w:sz w:val="18"/>
                <w:lang w:eastAsia="en-GB" w:bidi="en-US"/>
              </w:rPr>
              <w:t>′</w:t>
            </w:r>
            <w:r w:rsidRPr="008E6BBD">
              <w:rPr>
                <w:bCs/>
                <w:sz w:val="18"/>
                <w:lang w:eastAsia="en-AU" w:bidi="en-US"/>
              </w:rPr>
              <w:t>-monophosphate sodium salt</w:t>
            </w:r>
          </w:p>
        </w:tc>
      </w:tr>
    </w:tbl>
    <w:p w:rsidR="008E6BBD" w:rsidRPr="008E6BBD" w:rsidRDefault="008E6BBD" w:rsidP="008E6BBD">
      <w:pPr>
        <w:tabs>
          <w:tab w:val="clear" w:pos="851"/>
        </w:tabs>
        <w:jc w:val="right"/>
        <w:rPr>
          <w:szCs w:val="24"/>
          <w:lang w:bidi="en-US"/>
        </w:rPr>
      </w:pPr>
      <w:r w:rsidRPr="008E6BBD">
        <w:rPr>
          <w:szCs w:val="24"/>
          <w:lang w:bidi="en-US"/>
        </w:rPr>
        <w:t>”</w:t>
      </w:r>
    </w:p>
    <w:p w:rsidR="008E6BBD" w:rsidRPr="008E6BBD" w:rsidRDefault="008E6BBD" w:rsidP="008E6BBD">
      <w:pPr>
        <w:tabs>
          <w:tab w:val="clear" w:pos="851"/>
        </w:tabs>
        <w:rPr>
          <w:szCs w:val="24"/>
          <w:lang w:bidi="en-US"/>
        </w:rPr>
      </w:pPr>
      <w:r w:rsidRPr="008E6BBD">
        <w:rPr>
          <w:szCs w:val="24"/>
          <w:lang w:bidi="en-US"/>
        </w:rPr>
        <w:t>and substituting</w:t>
      </w:r>
    </w:p>
    <w:p w:rsidR="008E6BBD" w:rsidRPr="008E6BBD" w:rsidRDefault="008E6BBD" w:rsidP="008E6BBD">
      <w:pPr>
        <w:tabs>
          <w:tab w:val="clear" w:pos="851"/>
        </w:tabs>
        <w:rPr>
          <w:szCs w:val="24"/>
          <w:lang w:bidi="en-US"/>
        </w:rPr>
      </w:pPr>
    </w:p>
    <w:p w:rsidR="008E6BBD" w:rsidRPr="008E6BBD" w:rsidRDefault="008E6BBD" w:rsidP="008E6BBD">
      <w:pPr>
        <w:tabs>
          <w:tab w:val="clear" w:pos="851"/>
        </w:tabs>
        <w:rPr>
          <w:szCs w:val="24"/>
          <w:lang w:bidi="en-US"/>
        </w:rPr>
      </w:pPr>
      <w:r w:rsidRPr="008E6BBD">
        <w:rPr>
          <w:szCs w:val="24"/>
          <w:lang w:bidi="en-US"/>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Carnitine</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L-carnitine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L-carnitine hydrochloride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L-carnitine L-tartrate</w:t>
            </w:r>
          </w:p>
        </w:tc>
      </w:tr>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Choline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bitartrate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chloride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citrate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Choline hydrogen tartrate</w:t>
            </w:r>
          </w:p>
        </w:tc>
      </w:tr>
      <w:tr w:rsidR="008E6BBD" w:rsidRPr="008E6BBD" w:rsidTr="00721B4B">
        <w:trPr>
          <w:trHeight w:val="57"/>
        </w:trPr>
        <w:tc>
          <w:tcPr>
            <w:tcW w:w="4544"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Inositol</w:t>
            </w: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val="en-AU" w:eastAsia="en-AU" w:bidi="en-US"/>
              </w:rPr>
              <w:t>Inositol</w:t>
            </w:r>
          </w:p>
        </w:tc>
      </w:tr>
      <w:tr w:rsidR="008E6BBD" w:rsidRPr="008E6BBD" w:rsidTr="00721B4B">
        <w:trPr>
          <w:trHeight w:val="57"/>
        </w:trPr>
        <w:tc>
          <w:tcPr>
            <w:tcW w:w="4544" w:type="dxa"/>
            <w:vMerge w:val="restart"/>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Nucleotides</w:t>
            </w:r>
          </w:p>
        </w:tc>
        <w:tc>
          <w:tcPr>
            <w:tcW w:w="4543" w:type="dxa"/>
            <w:shd w:val="clear" w:color="auto" w:fill="auto"/>
            <w:noWrap/>
            <w:hideMark/>
          </w:tcPr>
          <w:p w:rsidR="008E6BBD" w:rsidRPr="008E6BBD" w:rsidRDefault="008E6BBD" w:rsidP="008E6BBD">
            <w:pPr>
              <w:tabs>
                <w:tab w:val="clear" w:pos="851"/>
              </w:tabs>
              <w:rPr>
                <w:sz w:val="22"/>
                <w:szCs w:val="24"/>
                <w:lang w:val="en-AU" w:eastAsia="en-AU" w:bidi="en-US"/>
              </w:rPr>
            </w:pPr>
            <w:r w:rsidRPr="008E6BBD">
              <w:rPr>
                <w:sz w:val="18"/>
                <w:szCs w:val="18"/>
                <w:lang w:val="en-AU" w:eastAsia="en-AU" w:bidi="en-US"/>
              </w:rPr>
              <w:t>Adenosine 5</w:t>
            </w:r>
            <w:r w:rsidRPr="008E6BBD">
              <w:rPr>
                <w:rFonts w:cs="Arial"/>
                <w:sz w:val="18"/>
                <w:szCs w:val="18"/>
                <w:lang w:eastAsia="en-GB" w:bidi="en-US"/>
              </w:rPr>
              <w:t>′</w:t>
            </w:r>
            <w:r w:rsidRPr="008E6BBD">
              <w:rPr>
                <w:sz w:val="18"/>
                <w:szCs w:val="18"/>
                <w:lang w:val="en-AU" w:eastAsia="en-AU" w:bidi="en-US"/>
              </w:rPr>
              <w:t>-monophosphate</w:t>
            </w:r>
          </w:p>
        </w:tc>
      </w:tr>
      <w:tr w:rsidR="008E6BBD" w:rsidRPr="008E6BBD" w:rsidTr="00721B4B">
        <w:trPr>
          <w:trHeight w:val="57"/>
        </w:trPr>
        <w:tc>
          <w:tcPr>
            <w:tcW w:w="4544" w:type="dxa"/>
            <w:vMerge/>
            <w:shd w:val="clear" w:color="auto" w:fill="auto"/>
            <w:noWrap/>
          </w:tcPr>
          <w:p w:rsidR="008E6BBD" w:rsidRPr="008E6BBD" w:rsidRDefault="008E6BBD" w:rsidP="008E6BBD">
            <w:pPr>
              <w:tabs>
                <w:tab w:val="clear" w:pos="851"/>
              </w:tabs>
              <w:ind w:left="142" w:hanging="142"/>
              <w:rPr>
                <w:bCs/>
                <w:sz w:val="18"/>
                <w:lang w:eastAsia="en-AU" w:bidi="en-US"/>
              </w:rPr>
            </w:pPr>
          </w:p>
        </w:tc>
        <w:tc>
          <w:tcPr>
            <w:tcW w:w="4543" w:type="dxa"/>
            <w:shd w:val="clear" w:color="auto" w:fill="auto"/>
            <w:noWrap/>
          </w:tcPr>
          <w:p w:rsidR="008E6BBD" w:rsidRPr="008E6BBD" w:rsidRDefault="008E6BBD" w:rsidP="008E6BBD">
            <w:pPr>
              <w:tabs>
                <w:tab w:val="clear" w:pos="851"/>
              </w:tabs>
              <w:ind w:left="142" w:hanging="142"/>
              <w:rPr>
                <w:bCs/>
                <w:sz w:val="18"/>
                <w:lang w:eastAsia="en-AU" w:bidi="en-US"/>
              </w:rPr>
            </w:pPr>
            <w:r w:rsidRPr="008E6BBD">
              <w:rPr>
                <w:bCs/>
                <w:sz w:val="18"/>
                <w:lang w:eastAsia="en-AU" w:bidi="en-US"/>
              </w:rPr>
              <w:t>Adenosine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Cytidine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Cytidine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Guanosine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Guanosine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Inosine 5</w:t>
            </w:r>
            <w:r w:rsidRPr="008E6BBD">
              <w:rPr>
                <w:rFonts w:cs="Arial"/>
                <w:bCs/>
                <w:sz w:val="18"/>
                <w:lang w:eastAsia="en-GB" w:bidi="en-US"/>
              </w:rPr>
              <w:t>′</w:t>
            </w:r>
            <w:r w:rsidRPr="008E6BBD">
              <w:rPr>
                <w:bCs/>
                <w:sz w:val="18"/>
                <w:lang w:eastAsia="en-AU" w:bidi="en-US"/>
              </w:rPr>
              <w:t>-monophosphate sodium salt</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Uridine 5</w:t>
            </w:r>
            <w:r w:rsidRPr="008E6BBD">
              <w:rPr>
                <w:rFonts w:cs="Arial"/>
                <w:bCs/>
                <w:sz w:val="18"/>
                <w:lang w:eastAsia="en-GB" w:bidi="en-US"/>
              </w:rPr>
              <w:t>′</w:t>
            </w:r>
            <w:r w:rsidRPr="008E6BBD">
              <w:rPr>
                <w:bCs/>
                <w:sz w:val="18"/>
                <w:lang w:eastAsia="en-AU" w:bidi="en-US"/>
              </w:rPr>
              <w:t>-monophosphate</w:t>
            </w:r>
          </w:p>
        </w:tc>
      </w:tr>
      <w:tr w:rsidR="008E6BBD" w:rsidRPr="008E6BBD" w:rsidTr="00721B4B">
        <w:trPr>
          <w:trHeight w:val="57"/>
        </w:trPr>
        <w:tc>
          <w:tcPr>
            <w:tcW w:w="4544" w:type="dxa"/>
            <w:vMerge/>
            <w:shd w:val="clear" w:color="auto" w:fill="auto"/>
            <w:noWrap/>
            <w:hideMark/>
          </w:tcPr>
          <w:p w:rsidR="008E6BBD" w:rsidRPr="008E6BBD" w:rsidRDefault="008E6BBD" w:rsidP="008E6BBD">
            <w:pPr>
              <w:tabs>
                <w:tab w:val="clear" w:pos="851"/>
              </w:tabs>
              <w:ind w:left="142" w:hanging="142"/>
              <w:rPr>
                <w:rFonts w:ascii="Calibri" w:hAnsi="Calibri" w:cs="Calibri"/>
                <w:bCs/>
                <w:sz w:val="22"/>
                <w:lang w:val="en-AU" w:eastAsia="en-AU" w:bidi="en-US"/>
              </w:rPr>
            </w:pPr>
          </w:p>
        </w:tc>
        <w:tc>
          <w:tcPr>
            <w:tcW w:w="4543" w:type="dxa"/>
            <w:shd w:val="clear" w:color="auto" w:fill="auto"/>
            <w:noWrap/>
            <w:hideMark/>
          </w:tcPr>
          <w:p w:rsidR="008E6BBD" w:rsidRPr="008E6BBD" w:rsidRDefault="008E6BBD" w:rsidP="008E6BBD">
            <w:pPr>
              <w:tabs>
                <w:tab w:val="clear" w:pos="851"/>
              </w:tabs>
              <w:ind w:left="142" w:hanging="142"/>
              <w:rPr>
                <w:bCs/>
                <w:sz w:val="18"/>
                <w:lang w:val="en-AU" w:eastAsia="en-AU" w:bidi="en-US"/>
              </w:rPr>
            </w:pPr>
            <w:r w:rsidRPr="008E6BBD">
              <w:rPr>
                <w:bCs/>
                <w:sz w:val="18"/>
                <w:lang w:eastAsia="en-AU" w:bidi="en-US"/>
              </w:rPr>
              <w:t>Uridine 5</w:t>
            </w:r>
            <w:r w:rsidRPr="008E6BBD">
              <w:rPr>
                <w:rFonts w:cs="Arial"/>
                <w:bCs/>
                <w:sz w:val="18"/>
                <w:lang w:eastAsia="en-GB" w:bidi="en-US"/>
              </w:rPr>
              <w:t>′</w:t>
            </w:r>
            <w:r w:rsidRPr="008E6BBD">
              <w:rPr>
                <w:bCs/>
                <w:sz w:val="18"/>
                <w:lang w:eastAsia="en-AU" w:bidi="en-US"/>
              </w:rPr>
              <w:t>-monophosphate sodium salt</w:t>
            </w:r>
          </w:p>
        </w:tc>
      </w:tr>
    </w:tbl>
    <w:p w:rsidR="008E6BBD" w:rsidRPr="008E6BBD" w:rsidRDefault="008E6BBD" w:rsidP="008E6BBD">
      <w:pPr>
        <w:tabs>
          <w:tab w:val="clear" w:pos="851"/>
        </w:tabs>
        <w:jc w:val="right"/>
        <w:rPr>
          <w:szCs w:val="24"/>
          <w:lang w:bidi="en-US"/>
        </w:rPr>
      </w:pPr>
      <w:r w:rsidRPr="008E6BBD">
        <w:rPr>
          <w:szCs w:val="24"/>
          <w:lang w:bidi="en-US"/>
        </w:rPr>
        <w:t>”</w:t>
      </w:r>
    </w:p>
    <w:p w:rsidR="008E6BBD" w:rsidRPr="008E6BBD" w:rsidRDefault="008E6BBD" w:rsidP="008E6BBD">
      <w:pPr>
        <w:tabs>
          <w:tab w:val="clear" w:pos="851"/>
        </w:tabs>
        <w:rPr>
          <w:szCs w:val="24"/>
          <w:lang w:bidi="en-US"/>
        </w:rPr>
      </w:pPr>
    </w:p>
    <w:p w:rsidR="008E6BBD" w:rsidRPr="008E6BBD" w:rsidRDefault="008E6BBD" w:rsidP="008E6BBD">
      <w:pPr>
        <w:rPr>
          <w:szCs w:val="24"/>
          <w:lang w:bidi="en-US"/>
        </w:rPr>
      </w:pPr>
      <w:r w:rsidRPr="008E6BBD">
        <w:rPr>
          <w:szCs w:val="24"/>
          <w:lang w:bidi="en-US"/>
        </w:rPr>
        <w:t xml:space="preserve">[5.5] </w:t>
      </w:r>
      <w:r w:rsidRPr="008E6BBD">
        <w:rPr>
          <w:szCs w:val="24"/>
          <w:lang w:bidi="en-US"/>
        </w:rPr>
        <w:tab/>
        <w:t>updating the Table of Provisions to reflect these variations.</w:t>
      </w:r>
    </w:p>
    <w:p w:rsidR="008E6BBD" w:rsidRPr="008E6BBD" w:rsidRDefault="008E6BBD" w:rsidP="008E6BBD">
      <w:pPr>
        <w:tabs>
          <w:tab w:val="clear" w:pos="851"/>
        </w:tabs>
        <w:rPr>
          <w:rFonts w:cs="Arial"/>
          <w:b/>
          <w:i/>
          <w:szCs w:val="24"/>
          <w:lang w:bidi="en-US"/>
        </w:rPr>
      </w:pPr>
    </w:p>
    <w:p w:rsidR="00161FA0" w:rsidRPr="001E3222" w:rsidRDefault="00161FA0" w:rsidP="008E6BBD">
      <w:bookmarkStart w:id="0" w:name="_GoBack"/>
      <w:bookmarkEnd w:id="0"/>
    </w:p>
    <w:sectPr w:rsidR="00161FA0" w:rsidRPr="001E3222" w:rsidSect="001E3222">
      <w:footerReference w:type="default" r:id="rId12"/>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8E6BBD">
      <w:rPr>
        <w:noProof/>
      </w:rPr>
      <w:t>15</w:t>
    </w:r>
    <w:r w:rsidRPr="009D4E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9">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0"/>
  </w:num>
  <w:num w:numId="3">
    <w:abstractNumId w:val="8"/>
  </w:num>
  <w:num w:numId="4">
    <w:abstractNumId w:val="12"/>
  </w:num>
  <w:num w:numId="5">
    <w:abstractNumId w:val="5"/>
  </w:num>
  <w:num w:numId="6">
    <w:abstractNumId w:val="1"/>
  </w:num>
  <w:num w:numId="7">
    <w:abstractNumId w:val="2"/>
  </w:num>
  <w:num w:numId="8">
    <w:abstractNumId w:val="22"/>
  </w:num>
  <w:num w:numId="9">
    <w:abstractNumId w:val="11"/>
  </w:num>
  <w:num w:numId="10">
    <w:abstractNumId w:val="16"/>
  </w:num>
  <w:num w:numId="11">
    <w:abstractNumId w:val="21"/>
  </w:num>
  <w:num w:numId="12">
    <w:abstractNumId w:val="6"/>
  </w:num>
  <w:num w:numId="13">
    <w:abstractNumId w:val="17"/>
  </w:num>
  <w:num w:numId="14">
    <w:abstractNumId w:val="3"/>
  </w:num>
  <w:num w:numId="15">
    <w:abstractNumId w:val="15"/>
  </w:num>
  <w:num w:numId="16">
    <w:abstractNumId w:val="4"/>
  </w:num>
  <w:num w:numId="17">
    <w:abstractNumId w:val="19"/>
  </w:num>
  <w:num w:numId="18">
    <w:abstractNumId w:val="13"/>
  </w:num>
  <w:num w:numId="19">
    <w:abstractNumId w:val="18"/>
  </w:num>
  <w:num w:numId="20">
    <w:abstractNumId w:val="20"/>
  </w:num>
  <w:num w:numId="21">
    <w:abstractNumId w:val="8"/>
  </w:num>
  <w:num w:numId="22">
    <w:abstractNumId w:val="12"/>
  </w:num>
  <w:num w:numId="23">
    <w:abstractNumId w:val="2"/>
  </w:num>
  <w:num w:numId="24">
    <w:abstractNumId w:val="1"/>
  </w:num>
  <w:num w:numId="25">
    <w:abstractNumId w:val="0"/>
  </w:num>
  <w:num w:numId="26">
    <w:abstractNumId w:val="1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DB2A11-5418-4AD2-9F31-C7C0CEF69814}"/>
</file>

<file path=customXml/itemProps2.xml><?xml version="1.0" encoding="utf-8"?>
<ds:datastoreItem xmlns:ds="http://schemas.openxmlformats.org/officeDocument/2006/customXml" ds:itemID="{F1A4D723-B9E8-4125-AD1C-0E6FCC9C1E03}"/>
</file>

<file path=customXml/itemProps3.xml><?xml version="1.0" encoding="utf-8"?>
<ds:datastoreItem xmlns:ds="http://schemas.openxmlformats.org/officeDocument/2006/customXml" ds:itemID="{066191E6-A92B-4D81-9FB9-7D1CDBBA7E42}"/>
</file>

<file path=docProps/app.xml><?xml version="1.0" encoding="utf-8"?>
<Properties xmlns="http://schemas.openxmlformats.org/officeDocument/2006/extended-properties" xmlns:vt="http://schemas.openxmlformats.org/officeDocument/2006/docPropsVTypes">
  <Template>Normal.dotm</Template>
  <TotalTime>22</TotalTime>
  <Pages>15</Pages>
  <Words>2153</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14661</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Amendment No 139 </dc:title>
  <dc:creator>humphc</dc:creator>
  <cp:lastModifiedBy>humphc</cp:lastModifiedBy>
  <cp:revision>15</cp:revision>
  <cp:lastPrinted>2013-02-19T04:55:00Z</cp:lastPrinted>
  <dcterms:created xsi:type="dcterms:W3CDTF">2011-09-02T07:13:00Z</dcterms:created>
  <dcterms:modified xsi:type="dcterms:W3CDTF">2013-02-19T04:55:00Z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